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13A75" w14:textId="4A79E9D4" w:rsidR="002A3736" w:rsidRPr="002A3736" w:rsidRDefault="00C0495A" w:rsidP="002A3736">
      <w:pPr>
        <w:rPr>
          <w:b/>
          <w:bCs/>
        </w:rPr>
      </w:pPr>
      <w:r>
        <w:rPr>
          <w:b/>
          <w:bCs/>
        </w:rPr>
        <w:t>S</w:t>
      </w:r>
      <w:r w:rsidR="00352DFF">
        <w:rPr>
          <w:b/>
          <w:bCs/>
        </w:rPr>
        <w:t>tandpunt Asiel</w:t>
      </w:r>
    </w:p>
    <w:p w14:paraId="3C6C5C5E" w14:textId="77777777" w:rsidR="002A3736" w:rsidRPr="002A3736" w:rsidRDefault="002A3736" w:rsidP="002A3736">
      <w:pPr>
        <w:numPr>
          <w:ilvl w:val="0"/>
          <w:numId w:val="1"/>
        </w:numPr>
      </w:pPr>
      <w:r w:rsidRPr="002A3736">
        <w:rPr>
          <w:b/>
          <w:bCs/>
        </w:rPr>
        <w:t>Te kleinschalig / onvoldoende bijdrage</w:t>
      </w:r>
    </w:p>
    <w:p w14:paraId="24204F07" w14:textId="259B2058" w:rsidR="002A3736" w:rsidRDefault="002A3736" w:rsidP="002A3736">
      <w:pPr>
        <w:numPr>
          <w:ilvl w:val="1"/>
          <w:numId w:val="1"/>
        </w:numPr>
      </w:pPr>
      <w:r w:rsidRPr="002A3736">
        <w:t>Slechts 300 mensen</w:t>
      </w:r>
      <w:r>
        <w:t xml:space="preserve"> verdeeld over 3 locaties </w:t>
      </w:r>
      <w:r w:rsidRPr="002A3736">
        <w:t xml:space="preserve"> is relatief weinig vergeleken met de totale behoefte aan opvangplaatsen. Dit kan worden gezien als een te beperkte bijdrage aan een landelijk of regionaal probleem</w:t>
      </w:r>
      <w:r>
        <w:t xml:space="preserve"> van het COA</w:t>
      </w:r>
      <w:r w:rsidRPr="002A3736">
        <w:t>.</w:t>
      </w:r>
    </w:p>
    <w:p w14:paraId="068480F6" w14:textId="77777777" w:rsidR="002A3736" w:rsidRPr="002A3736" w:rsidRDefault="002A3736" w:rsidP="002A3736">
      <w:pPr>
        <w:numPr>
          <w:ilvl w:val="0"/>
          <w:numId w:val="1"/>
        </w:numPr>
      </w:pPr>
      <w:r w:rsidRPr="002A3736">
        <w:rPr>
          <w:b/>
          <w:bCs/>
        </w:rPr>
        <w:t>Versnippering van voorzieningen</w:t>
      </w:r>
    </w:p>
    <w:p w14:paraId="24540070" w14:textId="77777777" w:rsidR="002A3736" w:rsidRPr="002A3736" w:rsidRDefault="002A3736" w:rsidP="002A3736">
      <w:pPr>
        <w:numPr>
          <w:ilvl w:val="1"/>
          <w:numId w:val="1"/>
        </w:numPr>
      </w:pPr>
      <w:r w:rsidRPr="002A3736">
        <w:t>Door de opvang over drie locaties te verspreiden, moet er op meerdere plekken aparte voorzieningen (beveiliging, begeleiding, zorg, vrijwilligerswerk, onderwijs) worden opgezet. Dat kan inefficiënt en duurder zijn dan één grotere opvanglocatie.</w:t>
      </w:r>
    </w:p>
    <w:p w14:paraId="45A17C77" w14:textId="77777777" w:rsidR="002A3736" w:rsidRPr="002A3736" w:rsidRDefault="002A3736" w:rsidP="002A3736">
      <w:pPr>
        <w:numPr>
          <w:ilvl w:val="0"/>
          <w:numId w:val="1"/>
        </w:numPr>
      </w:pPr>
      <w:r w:rsidRPr="002A3736">
        <w:rPr>
          <w:b/>
          <w:bCs/>
        </w:rPr>
        <w:t>Tijdelijke oplossingen in plaats van structureel beleid</w:t>
      </w:r>
    </w:p>
    <w:p w14:paraId="5F30A869" w14:textId="77777777" w:rsidR="002A3736" w:rsidRPr="002A3736" w:rsidRDefault="002A3736" w:rsidP="002A3736">
      <w:pPr>
        <w:numPr>
          <w:ilvl w:val="1"/>
          <w:numId w:val="1"/>
        </w:numPr>
      </w:pPr>
      <w:r w:rsidRPr="002A3736">
        <w:t>Maxima en afspraken met de omgeving kunnen leiden tot kortetermijnpolitiek: men wil draagvlak behouden, maar er wordt geen duurzame oplossing gezocht voor de bredere asiel- en migratievraagstukken.</w:t>
      </w:r>
    </w:p>
    <w:p w14:paraId="68B9B369" w14:textId="77777777" w:rsidR="002A3736" w:rsidRPr="002A3736" w:rsidRDefault="002A3736" w:rsidP="002A3736">
      <w:pPr>
        <w:numPr>
          <w:ilvl w:val="0"/>
          <w:numId w:val="1"/>
        </w:numPr>
      </w:pPr>
      <w:r w:rsidRPr="002A3736">
        <w:rPr>
          <w:b/>
          <w:bCs/>
        </w:rPr>
        <w:t>Risico van 'placeren' in wijken</w:t>
      </w:r>
    </w:p>
    <w:p w14:paraId="3724B93B" w14:textId="77777777" w:rsidR="002A3736" w:rsidRPr="002A3736" w:rsidRDefault="002A3736" w:rsidP="002A3736">
      <w:pPr>
        <w:numPr>
          <w:ilvl w:val="1"/>
          <w:numId w:val="1"/>
        </w:numPr>
      </w:pPr>
      <w:r w:rsidRPr="002A3736">
        <w:t>Ook al wordt er goed gecommuniceerd, bewoners in de omgeving kunnen alsnog het gevoel krijgen dat de opvang 'van bovenaf' is opgelegd en dat hun inspraak beperkt is.</w:t>
      </w:r>
    </w:p>
    <w:p w14:paraId="16E2F077" w14:textId="77777777" w:rsidR="002A3736" w:rsidRPr="002A3736" w:rsidRDefault="002A3736" w:rsidP="002A3736">
      <w:pPr>
        <w:numPr>
          <w:ilvl w:val="0"/>
          <w:numId w:val="1"/>
        </w:numPr>
      </w:pPr>
      <w:r w:rsidRPr="002A3736">
        <w:rPr>
          <w:b/>
          <w:bCs/>
        </w:rPr>
        <w:t>Selectieve solidariteit</w:t>
      </w:r>
    </w:p>
    <w:p w14:paraId="1B2FCB84" w14:textId="77777777" w:rsidR="002A3736" w:rsidRPr="002A3736" w:rsidRDefault="002A3736" w:rsidP="002A3736">
      <w:pPr>
        <w:numPr>
          <w:ilvl w:val="1"/>
          <w:numId w:val="1"/>
        </w:numPr>
      </w:pPr>
      <w:r w:rsidRPr="002A3736">
        <w:t>Het beleid kan de indruk wekken dat er alleen hulp wordt geboden zolang het 'beheersbaar' blijft (max. 300 mensen), waardoor het solidariteitsprincipe onder druk komt te staan.</w:t>
      </w:r>
    </w:p>
    <w:p w14:paraId="139F48F8" w14:textId="77777777" w:rsidR="002A3736" w:rsidRPr="002A3736" w:rsidRDefault="002A3736" w:rsidP="002A3736">
      <w:pPr>
        <w:numPr>
          <w:ilvl w:val="0"/>
          <w:numId w:val="1"/>
        </w:numPr>
      </w:pPr>
      <w:r w:rsidRPr="002A3736">
        <w:rPr>
          <w:b/>
          <w:bCs/>
        </w:rPr>
        <w:t>Druk op lokale voorzieningen</w:t>
      </w:r>
    </w:p>
    <w:p w14:paraId="60BF068B" w14:textId="77777777" w:rsidR="002A3736" w:rsidRPr="002A3736" w:rsidRDefault="002A3736" w:rsidP="002A3736">
      <w:pPr>
        <w:numPr>
          <w:ilvl w:val="1"/>
          <w:numId w:val="1"/>
        </w:numPr>
      </w:pPr>
      <w:r w:rsidRPr="002A3736">
        <w:t>Ondanks afspraken kan de komst van drie opvanglocaties extra druk zetten op scholen, zorgvoorzieningen, huisvesting en veiligheid, zeker als gemeenten al kampen met tekorten.</w:t>
      </w:r>
    </w:p>
    <w:p w14:paraId="1B6AE208" w14:textId="77777777" w:rsidR="002A3736" w:rsidRPr="002A3736" w:rsidRDefault="002A3736" w:rsidP="002A3736">
      <w:pPr>
        <w:numPr>
          <w:ilvl w:val="0"/>
          <w:numId w:val="1"/>
        </w:numPr>
      </w:pPr>
      <w:r w:rsidRPr="002A3736">
        <w:rPr>
          <w:b/>
          <w:bCs/>
        </w:rPr>
        <w:t>Beperkt integratieperspectief</w:t>
      </w:r>
    </w:p>
    <w:p w14:paraId="6E6E1715" w14:textId="77777777" w:rsidR="002A3736" w:rsidRPr="002A3736" w:rsidRDefault="002A3736" w:rsidP="002A3736">
      <w:pPr>
        <w:numPr>
          <w:ilvl w:val="1"/>
          <w:numId w:val="1"/>
        </w:numPr>
      </w:pPr>
      <w:r w:rsidRPr="002A3736">
        <w:t>Kleine, tijdelijke locaties kunnen leiden tot isolatie van asielzoekers, met weinig kans om echt te integreren of werk te vinden.</w:t>
      </w:r>
    </w:p>
    <w:p w14:paraId="10787A17" w14:textId="77777777" w:rsidR="002A3736" w:rsidRPr="002A3736" w:rsidRDefault="002A3736" w:rsidP="002A3736">
      <w:r w:rsidRPr="002A3736">
        <w:pict w14:anchorId="7881665F">
          <v:rect id="_x0000_i1031" style="width:0;height:1.5pt" o:hralign="center" o:hrstd="t" o:hr="t" fillcolor="#a0a0a0" stroked="f"/>
        </w:pict>
      </w:r>
    </w:p>
    <w:p w14:paraId="68252F11" w14:textId="77777777" w:rsidR="00C0495A" w:rsidRPr="002A3736" w:rsidRDefault="00C0495A" w:rsidP="00C0495A">
      <w:pPr>
        <w:rPr>
          <w:b/>
          <w:bCs/>
        </w:rPr>
      </w:pPr>
      <w:r>
        <w:rPr>
          <w:b/>
          <w:bCs/>
        </w:rPr>
        <w:t>Standpunt Asiel</w:t>
      </w:r>
    </w:p>
    <w:p w14:paraId="53FAF7FC" w14:textId="6A5208B6" w:rsidR="002A3736" w:rsidRPr="002A3736" w:rsidRDefault="002A3736" w:rsidP="002A3736">
      <w:r w:rsidRPr="002A3736">
        <w:t xml:space="preserve"> in kortere vorm:</w:t>
      </w:r>
    </w:p>
    <w:p w14:paraId="5E08620D" w14:textId="77777777" w:rsidR="002A3736" w:rsidRPr="002A3736" w:rsidRDefault="002A3736" w:rsidP="002A3736">
      <w:pPr>
        <w:numPr>
          <w:ilvl w:val="0"/>
          <w:numId w:val="2"/>
        </w:numPr>
      </w:pPr>
      <w:r w:rsidRPr="002A3736">
        <w:rPr>
          <w:b/>
          <w:bCs/>
        </w:rPr>
        <w:t>Te weinig</w:t>
      </w:r>
      <w:r w:rsidRPr="002A3736">
        <w:t xml:space="preserve"> – 300 plekken is marginaal t.o.v. de landelijke opvangbehoefte.</w:t>
      </w:r>
    </w:p>
    <w:p w14:paraId="02A66EF5" w14:textId="77777777" w:rsidR="002A3736" w:rsidRPr="002A3736" w:rsidRDefault="002A3736" w:rsidP="002A3736">
      <w:pPr>
        <w:numPr>
          <w:ilvl w:val="0"/>
          <w:numId w:val="2"/>
        </w:numPr>
      </w:pPr>
      <w:r w:rsidRPr="002A3736">
        <w:rPr>
          <w:b/>
          <w:bCs/>
        </w:rPr>
        <w:lastRenderedPageBreak/>
        <w:t>Inefficiënt</w:t>
      </w:r>
      <w:r w:rsidRPr="002A3736">
        <w:t xml:space="preserve"> – Drie kleine locaties kosten meer dan één grotere.</w:t>
      </w:r>
    </w:p>
    <w:p w14:paraId="45FB6580" w14:textId="77777777" w:rsidR="002A3736" w:rsidRPr="002A3736" w:rsidRDefault="002A3736" w:rsidP="002A3736">
      <w:pPr>
        <w:numPr>
          <w:ilvl w:val="0"/>
          <w:numId w:val="2"/>
        </w:numPr>
      </w:pPr>
      <w:r w:rsidRPr="002A3736">
        <w:rPr>
          <w:b/>
          <w:bCs/>
        </w:rPr>
        <w:t>Tijdelijk</w:t>
      </w:r>
      <w:r w:rsidRPr="002A3736">
        <w:t xml:space="preserve"> – Geen structurele oplossing voor het opvangprobleem.</w:t>
      </w:r>
    </w:p>
    <w:p w14:paraId="5871B7B1" w14:textId="77777777" w:rsidR="002A3736" w:rsidRPr="002A3736" w:rsidRDefault="002A3736" w:rsidP="002A3736">
      <w:pPr>
        <w:numPr>
          <w:ilvl w:val="0"/>
          <w:numId w:val="2"/>
        </w:numPr>
      </w:pPr>
      <w:r w:rsidRPr="002A3736">
        <w:rPr>
          <w:b/>
          <w:bCs/>
        </w:rPr>
        <w:t>Weerstand buurt</w:t>
      </w:r>
      <w:r w:rsidRPr="002A3736">
        <w:t xml:space="preserve"> – Omwonenden kunnen zich alsnog overvallen voelen.</w:t>
      </w:r>
    </w:p>
    <w:p w14:paraId="1DA0EA21" w14:textId="77777777" w:rsidR="002A3736" w:rsidRPr="002A3736" w:rsidRDefault="002A3736" w:rsidP="002A3736">
      <w:pPr>
        <w:numPr>
          <w:ilvl w:val="0"/>
          <w:numId w:val="2"/>
        </w:numPr>
      </w:pPr>
      <w:r w:rsidRPr="002A3736">
        <w:rPr>
          <w:b/>
          <w:bCs/>
        </w:rPr>
        <w:t>Beperkte solidariteit</w:t>
      </w:r>
      <w:r w:rsidRPr="002A3736">
        <w:t xml:space="preserve"> – Hulp alleen zolang het ‘beheersbaar’ blijft.</w:t>
      </w:r>
    </w:p>
    <w:p w14:paraId="4142ABE3" w14:textId="77777777" w:rsidR="002A3736" w:rsidRPr="002A3736" w:rsidRDefault="002A3736" w:rsidP="002A3736">
      <w:pPr>
        <w:numPr>
          <w:ilvl w:val="0"/>
          <w:numId w:val="2"/>
        </w:numPr>
      </w:pPr>
      <w:r w:rsidRPr="002A3736">
        <w:rPr>
          <w:b/>
          <w:bCs/>
        </w:rPr>
        <w:t>Druk voorzieningen</w:t>
      </w:r>
      <w:r w:rsidRPr="002A3736">
        <w:t xml:space="preserve"> – Extra belasting voor scholen, zorg en huisvesting.</w:t>
      </w:r>
    </w:p>
    <w:p w14:paraId="35C8EA46" w14:textId="77777777" w:rsidR="002A3736" w:rsidRPr="002A3736" w:rsidRDefault="002A3736" w:rsidP="002A3736">
      <w:pPr>
        <w:numPr>
          <w:ilvl w:val="0"/>
          <w:numId w:val="2"/>
        </w:numPr>
      </w:pPr>
      <w:r w:rsidRPr="002A3736">
        <w:rPr>
          <w:b/>
          <w:bCs/>
        </w:rPr>
        <w:t>Weinig integratiekansen</w:t>
      </w:r>
      <w:r w:rsidRPr="002A3736">
        <w:t xml:space="preserve"> – Kleine, tijdelijke opvang bevordert isolement.</w:t>
      </w:r>
    </w:p>
    <w:p w14:paraId="1D14F8A6" w14:textId="77777777" w:rsidR="009927CE" w:rsidRDefault="009927CE"/>
    <w:p w14:paraId="5F101A26" w14:textId="77777777" w:rsidR="002A3736" w:rsidRPr="002A3736" w:rsidRDefault="002A3736" w:rsidP="002A3736">
      <w:pPr>
        <w:rPr>
          <w:b/>
          <w:bCs/>
        </w:rPr>
      </w:pPr>
      <w:r w:rsidRPr="002A3736">
        <w:rPr>
          <w:b/>
          <w:bCs/>
        </w:rPr>
        <w:t>Grootte van COA-locaties</w:t>
      </w:r>
    </w:p>
    <w:p w14:paraId="07C8055D" w14:textId="77777777" w:rsidR="002A3736" w:rsidRPr="002A3736" w:rsidRDefault="002A3736" w:rsidP="002A3736">
      <w:pPr>
        <w:rPr>
          <w:b/>
          <w:bCs/>
        </w:rPr>
      </w:pPr>
      <w:r w:rsidRPr="002A3736">
        <w:rPr>
          <w:b/>
          <w:bCs/>
        </w:rPr>
        <w:t>Verdeling klein versus groot</w:t>
      </w:r>
    </w:p>
    <w:p w14:paraId="1F82874C" w14:textId="77777777" w:rsidR="002A3736" w:rsidRPr="002A3736" w:rsidRDefault="002A3736" w:rsidP="002A3736">
      <w:pPr>
        <w:numPr>
          <w:ilvl w:val="0"/>
          <w:numId w:val="3"/>
        </w:numPr>
      </w:pPr>
      <w:r w:rsidRPr="002A3736">
        <w:t xml:space="preserve">In </w:t>
      </w:r>
      <w:r w:rsidRPr="002A3736">
        <w:rPr>
          <w:b/>
          <w:bCs/>
        </w:rPr>
        <w:t>2025</w:t>
      </w:r>
      <w:r w:rsidRPr="002A3736">
        <w:t xml:space="preserve"> is ongeveer </w:t>
      </w:r>
      <w:r w:rsidRPr="002A3736">
        <w:rPr>
          <w:b/>
          <w:bCs/>
        </w:rPr>
        <w:t>35 %</w:t>
      </w:r>
      <w:r w:rsidRPr="002A3736">
        <w:t xml:space="preserve"> van de opvanglocaties groot, en </w:t>
      </w:r>
      <w:r w:rsidRPr="002A3736">
        <w:rPr>
          <w:b/>
          <w:bCs/>
        </w:rPr>
        <w:t>65 % kleinschalig</w:t>
      </w:r>
      <w:r w:rsidRPr="002A3736">
        <w:t xml:space="preserve"> </w:t>
      </w:r>
      <w:hyperlink r:id="rId5" w:tgtFrame="_blank" w:history="1">
        <w:r w:rsidRPr="002A3736">
          <w:rPr>
            <w:rStyle w:val="Hyperlink"/>
          </w:rPr>
          <w:t>COA</w:t>
        </w:r>
      </w:hyperlink>
      <w:r w:rsidRPr="002A3736">
        <w:t>.</w:t>
      </w:r>
    </w:p>
    <w:p w14:paraId="6D8D1F29" w14:textId="77777777" w:rsidR="002A3736" w:rsidRPr="002A3736" w:rsidRDefault="002A3736" w:rsidP="002A3736">
      <w:pPr>
        <w:numPr>
          <w:ilvl w:val="0"/>
          <w:numId w:val="3"/>
        </w:numPr>
      </w:pPr>
      <w:r w:rsidRPr="002A3736">
        <w:t xml:space="preserve">Ter vergelijking: in </w:t>
      </w:r>
      <w:r w:rsidRPr="002A3736">
        <w:rPr>
          <w:b/>
          <w:bCs/>
        </w:rPr>
        <w:t>2020</w:t>
      </w:r>
      <w:r w:rsidRPr="002A3736">
        <w:t xml:space="preserve"> bestond </w:t>
      </w:r>
      <w:r w:rsidRPr="002A3736">
        <w:rPr>
          <w:b/>
          <w:bCs/>
        </w:rPr>
        <w:t>82 %</w:t>
      </w:r>
      <w:r w:rsidRPr="002A3736">
        <w:t xml:space="preserve"> uit grote centra en nog maar </w:t>
      </w:r>
      <w:r w:rsidRPr="002A3736">
        <w:rPr>
          <w:b/>
          <w:bCs/>
        </w:rPr>
        <w:t>18 %</w:t>
      </w:r>
      <w:r w:rsidRPr="002A3736">
        <w:t xml:space="preserve"> kleinschalige locaties </w:t>
      </w:r>
      <w:hyperlink r:id="rId6" w:tgtFrame="_blank" w:history="1">
        <w:r w:rsidRPr="002A3736">
          <w:rPr>
            <w:rStyle w:val="Hyperlink"/>
          </w:rPr>
          <w:t>COA</w:t>
        </w:r>
      </w:hyperlink>
      <w:r w:rsidRPr="002A3736">
        <w:t>.</w:t>
      </w:r>
    </w:p>
    <w:p w14:paraId="59F15CB5" w14:textId="77777777" w:rsidR="002A3736" w:rsidRPr="002A3736" w:rsidRDefault="002A3736" w:rsidP="002A3736">
      <w:pPr>
        <w:rPr>
          <w:b/>
          <w:bCs/>
        </w:rPr>
      </w:pPr>
      <w:r w:rsidRPr="002A3736">
        <w:rPr>
          <w:b/>
          <w:bCs/>
        </w:rPr>
        <w:t>Wat betekent ‘kleinschalige opvang’?</w:t>
      </w:r>
    </w:p>
    <w:p w14:paraId="1B7E6C7D" w14:textId="77777777" w:rsidR="002A3736" w:rsidRPr="002A3736" w:rsidRDefault="002A3736" w:rsidP="002A3736">
      <w:pPr>
        <w:numPr>
          <w:ilvl w:val="0"/>
          <w:numId w:val="4"/>
        </w:numPr>
      </w:pPr>
      <w:r w:rsidRPr="002A3736">
        <w:t xml:space="preserve">COA definieert kleinschaligheid als locaties met </w:t>
      </w:r>
      <w:r w:rsidRPr="002A3736">
        <w:rPr>
          <w:b/>
          <w:bCs/>
        </w:rPr>
        <w:t>circa 150 plekken of minder</w:t>
      </w:r>
      <w:r w:rsidRPr="002A3736">
        <w:t xml:space="preserve"> </w:t>
      </w:r>
      <w:hyperlink r:id="rId7" w:tgtFrame="_blank" w:history="1">
        <w:r w:rsidRPr="002A3736">
          <w:rPr>
            <w:rStyle w:val="Hyperlink"/>
          </w:rPr>
          <w:t>COA+2COA+2</w:t>
        </w:r>
      </w:hyperlink>
      <w:r w:rsidRPr="002A3736">
        <w:t>.</w:t>
      </w:r>
    </w:p>
    <w:p w14:paraId="5C14BDFE" w14:textId="77777777" w:rsidR="002A3736" w:rsidRPr="002A3736" w:rsidRDefault="002A3736" w:rsidP="002A3736">
      <w:pPr>
        <w:numPr>
          <w:ilvl w:val="0"/>
          <w:numId w:val="4"/>
        </w:numPr>
      </w:pPr>
      <w:r w:rsidRPr="002A3736">
        <w:t>Er bestaan twee typen:</w:t>
      </w:r>
    </w:p>
    <w:p w14:paraId="22C99729" w14:textId="77777777" w:rsidR="002A3736" w:rsidRPr="002A3736" w:rsidRDefault="002A3736" w:rsidP="002A3736">
      <w:pPr>
        <w:numPr>
          <w:ilvl w:val="1"/>
          <w:numId w:val="4"/>
        </w:numPr>
      </w:pPr>
      <w:r w:rsidRPr="002A3736">
        <w:rPr>
          <w:b/>
          <w:bCs/>
        </w:rPr>
        <w:t>Dependances</w:t>
      </w:r>
      <w:r w:rsidRPr="002A3736">
        <w:t xml:space="preserve"> bij bestaande AZC’s: bewoners maken gebruik van voorzieningen op de hoofdlocatie.</w:t>
      </w:r>
    </w:p>
    <w:p w14:paraId="2AB8CA3A" w14:textId="77777777" w:rsidR="002A3736" w:rsidRPr="002A3736" w:rsidRDefault="002A3736" w:rsidP="002A3736">
      <w:pPr>
        <w:numPr>
          <w:ilvl w:val="1"/>
          <w:numId w:val="4"/>
        </w:numPr>
      </w:pPr>
      <w:r w:rsidRPr="002A3736">
        <w:rPr>
          <w:b/>
          <w:bCs/>
        </w:rPr>
        <w:t>Zelfstandige locaties</w:t>
      </w:r>
      <w:r w:rsidRPr="002A3736">
        <w:t xml:space="preserve"> zonder vaste begeleiding; bewoners regelen zaken als zorg of onderwijs buiten de locatie </w:t>
      </w:r>
      <w:hyperlink r:id="rId8" w:tgtFrame="_blank" w:history="1">
        <w:r w:rsidRPr="002A3736">
          <w:rPr>
            <w:rStyle w:val="Hyperlink"/>
          </w:rPr>
          <w:t>COA+1</w:t>
        </w:r>
      </w:hyperlink>
      <w:r w:rsidRPr="002A3736">
        <w:t>.</w:t>
      </w:r>
    </w:p>
    <w:p w14:paraId="0E32CDBE" w14:textId="77777777" w:rsidR="002A3736" w:rsidRPr="002A3736" w:rsidRDefault="002A3736" w:rsidP="002A3736">
      <w:pPr>
        <w:rPr>
          <w:b/>
          <w:bCs/>
        </w:rPr>
      </w:pPr>
      <w:r w:rsidRPr="002A3736">
        <w:rPr>
          <w:b/>
          <w:bCs/>
        </w:rPr>
        <w:t>Waarom verschillende groottes?</w:t>
      </w:r>
    </w:p>
    <w:p w14:paraId="4E0BAE1E" w14:textId="77777777" w:rsidR="002A3736" w:rsidRPr="002A3736" w:rsidRDefault="002A3736" w:rsidP="002A3736">
      <w:pPr>
        <w:numPr>
          <w:ilvl w:val="0"/>
          <w:numId w:val="5"/>
        </w:numPr>
      </w:pPr>
      <w:r w:rsidRPr="002A3736">
        <w:t xml:space="preserve">Een mix van </w:t>
      </w:r>
      <w:r w:rsidRPr="002A3736">
        <w:rPr>
          <w:b/>
          <w:bCs/>
        </w:rPr>
        <w:t>kleine en grote locaties</w:t>
      </w:r>
      <w:r w:rsidRPr="002A3736">
        <w:t xml:space="preserve"> is belangrijk voor flexibiliteit en </w:t>
      </w:r>
      <w:r w:rsidRPr="002A3736">
        <w:rPr>
          <w:b/>
          <w:bCs/>
        </w:rPr>
        <w:t>draagvlak in gemeenten</w:t>
      </w:r>
      <w:r w:rsidRPr="002A3736">
        <w:t xml:space="preserve"> </w:t>
      </w:r>
      <w:hyperlink r:id="rId9" w:tgtFrame="_blank" w:history="1">
        <w:r w:rsidRPr="002A3736">
          <w:rPr>
            <w:rStyle w:val="Hyperlink"/>
          </w:rPr>
          <w:t>COA</w:t>
        </w:r>
      </w:hyperlink>
      <w:r w:rsidRPr="002A3736">
        <w:t>.</w:t>
      </w:r>
    </w:p>
    <w:p w14:paraId="3123824D" w14:textId="77777777" w:rsidR="002A3736" w:rsidRPr="002A3736" w:rsidRDefault="002A3736" w:rsidP="002A3736">
      <w:pPr>
        <w:numPr>
          <w:ilvl w:val="0"/>
          <w:numId w:val="5"/>
        </w:numPr>
      </w:pPr>
      <w:r w:rsidRPr="002A3736">
        <w:rPr>
          <w:b/>
          <w:bCs/>
        </w:rPr>
        <w:t>Kleinschalige opvang</w:t>
      </w:r>
      <w:r w:rsidRPr="002A3736">
        <w:t xml:space="preserve"> vergemakkelijkt integratie omdat bewoners makkelijker contact hebben met de buurt </w:t>
      </w:r>
      <w:hyperlink r:id="rId10" w:tgtFrame="_blank" w:history="1">
        <w:r w:rsidRPr="002A3736">
          <w:rPr>
            <w:rStyle w:val="Hyperlink"/>
          </w:rPr>
          <w:t>COA+1</w:t>
        </w:r>
      </w:hyperlink>
      <w:r w:rsidRPr="002A3736">
        <w:t>.</w:t>
      </w:r>
    </w:p>
    <w:p w14:paraId="3A4A8FCD" w14:textId="77777777" w:rsidR="002A3736" w:rsidRPr="002A3736" w:rsidRDefault="002A3736" w:rsidP="002A3736">
      <w:pPr>
        <w:numPr>
          <w:ilvl w:val="0"/>
          <w:numId w:val="5"/>
        </w:numPr>
      </w:pPr>
      <w:r w:rsidRPr="002A3736">
        <w:rPr>
          <w:b/>
          <w:bCs/>
        </w:rPr>
        <w:t>Grote locaties</w:t>
      </w:r>
      <w:r w:rsidRPr="002A3736">
        <w:t xml:space="preserve"> zijn efficiënter qua voorzieningen (zoals zorg, onderwijs, beveiliging) en kosten </w:t>
      </w:r>
      <w:hyperlink r:id="rId11" w:tgtFrame="_blank" w:history="1">
        <w:r w:rsidRPr="002A3736">
          <w:rPr>
            <w:rStyle w:val="Hyperlink"/>
          </w:rPr>
          <w:t>COA</w:t>
        </w:r>
      </w:hyperlink>
      <w:r w:rsidRPr="002A3736">
        <w:t>.</w:t>
      </w:r>
    </w:p>
    <w:p w14:paraId="597B7E6B" w14:textId="77777777" w:rsidR="002A3736" w:rsidRPr="002A3736" w:rsidRDefault="002A3736" w:rsidP="002A3736">
      <w:pPr>
        <w:rPr>
          <w:b/>
          <w:bCs/>
        </w:rPr>
      </w:pPr>
      <w:r w:rsidRPr="002A3736">
        <w:rPr>
          <w:b/>
          <w:bCs/>
        </w:rPr>
        <w:t>Beveiliging en begeleiding</w:t>
      </w:r>
    </w:p>
    <w:p w14:paraId="71ADABA1" w14:textId="77777777" w:rsidR="002A3736" w:rsidRPr="002A3736" w:rsidRDefault="002A3736" w:rsidP="002A3736">
      <w:pPr>
        <w:numPr>
          <w:ilvl w:val="0"/>
          <w:numId w:val="6"/>
        </w:numPr>
      </w:pPr>
      <w:r w:rsidRPr="002A3736">
        <w:t xml:space="preserve">Vanaf </w:t>
      </w:r>
      <w:r w:rsidRPr="002A3736">
        <w:rPr>
          <w:b/>
          <w:bCs/>
        </w:rPr>
        <w:t>100 bewoners</w:t>
      </w:r>
      <w:r w:rsidRPr="002A3736">
        <w:t xml:space="preserve"> is er </w:t>
      </w:r>
      <w:r w:rsidRPr="002A3736">
        <w:rPr>
          <w:b/>
          <w:bCs/>
        </w:rPr>
        <w:t>permanente beveiliging</w:t>
      </w:r>
      <w:r w:rsidRPr="002A3736">
        <w:t xml:space="preserve"> aanwezig op locaties </w:t>
      </w:r>
      <w:hyperlink r:id="rId12" w:tgtFrame="_blank" w:history="1">
        <w:r w:rsidRPr="002A3736">
          <w:rPr>
            <w:rStyle w:val="Hyperlink"/>
          </w:rPr>
          <w:t>COA+1</w:t>
        </w:r>
      </w:hyperlink>
      <w:r w:rsidRPr="002A3736">
        <w:t>.</w:t>
      </w:r>
    </w:p>
    <w:p w14:paraId="2E9E3ABF" w14:textId="77777777" w:rsidR="002A3736" w:rsidRPr="002A3736" w:rsidRDefault="002A3736" w:rsidP="002A3736">
      <w:pPr>
        <w:numPr>
          <w:ilvl w:val="0"/>
          <w:numId w:val="6"/>
        </w:numPr>
      </w:pPr>
      <w:r w:rsidRPr="002A3736">
        <w:t xml:space="preserve">Bij reguliere kleinschalige opvang is er </w:t>
      </w:r>
      <w:r w:rsidRPr="002A3736">
        <w:rPr>
          <w:b/>
          <w:bCs/>
        </w:rPr>
        <w:t>geen permanente begeleiding</w:t>
      </w:r>
      <w:r w:rsidRPr="002A3736">
        <w:t xml:space="preserve">; bewoners moeten voor allerlei voorzieningen naar de buitenwereld </w:t>
      </w:r>
      <w:hyperlink r:id="rId13" w:tgtFrame="_blank" w:history="1">
        <w:r w:rsidRPr="002A3736">
          <w:rPr>
            <w:rStyle w:val="Hyperlink"/>
          </w:rPr>
          <w:t>COA+1</w:t>
        </w:r>
      </w:hyperlink>
      <w:r w:rsidRPr="002A3736">
        <w:t>.</w:t>
      </w:r>
    </w:p>
    <w:p w14:paraId="07408396" w14:textId="77777777" w:rsidR="002A3736" w:rsidRPr="002A3736" w:rsidRDefault="002A3736" w:rsidP="002A3736">
      <w:pPr>
        <w:rPr>
          <w:b/>
          <w:bCs/>
        </w:rPr>
      </w:pPr>
      <w:r w:rsidRPr="002A3736">
        <w:rPr>
          <w:b/>
          <w:bCs/>
        </w:rPr>
        <w:t>Samenwerking en rol van Rode Kruis</w:t>
      </w:r>
    </w:p>
    <w:p w14:paraId="5104CEEF" w14:textId="77777777" w:rsidR="002A3736" w:rsidRPr="002A3736" w:rsidRDefault="002A3736" w:rsidP="002A3736">
      <w:pPr>
        <w:numPr>
          <w:ilvl w:val="0"/>
          <w:numId w:val="7"/>
        </w:numPr>
      </w:pPr>
      <w:r w:rsidRPr="002A3736">
        <w:t xml:space="preserve">Het </w:t>
      </w:r>
      <w:r w:rsidRPr="002A3736">
        <w:rPr>
          <w:b/>
          <w:bCs/>
        </w:rPr>
        <w:t>Rode Kruis</w:t>
      </w:r>
      <w:r w:rsidRPr="002A3736">
        <w:t xml:space="preserve"> ondersteunt COA bij kleinschalige opvang. Richtgetal daarbij is </w:t>
      </w:r>
      <w:r w:rsidRPr="002A3736">
        <w:rPr>
          <w:b/>
          <w:bCs/>
        </w:rPr>
        <w:t>vanaf circa 50 bewoners</w:t>
      </w:r>
      <w:r w:rsidRPr="002A3736">
        <w:t xml:space="preserve">, maar het is vooral maatwerk </w:t>
      </w:r>
      <w:hyperlink r:id="rId14" w:tgtFrame="_blank" w:history="1">
        <w:r w:rsidRPr="002A3736">
          <w:rPr>
            <w:rStyle w:val="Hyperlink"/>
          </w:rPr>
          <w:t>VNG</w:t>
        </w:r>
      </w:hyperlink>
      <w:r w:rsidRPr="002A3736">
        <w:t>.</w:t>
      </w:r>
    </w:p>
    <w:p w14:paraId="40837E91" w14:textId="77777777" w:rsidR="002A3736" w:rsidRPr="002A3736" w:rsidRDefault="002A3736" w:rsidP="002A3736">
      <w:pPr>
        <w:numPr>
          <w:ilvl w:val="0"/>
          <w:numId w:val="7"/>
        </w:numPr>
      </w:pPr>
      <w:r w:rsidRPr="002A3736">
        <w:t xml:space="preserve">Rode Kruis beheert dagelijks meerdere kleine locaties in samenwerking, terwijl COA eindverantwoordelijk blijft </w:t>
      </w:r>
      <w:hyperlink r:id="rId15" w:tgtFrame="_blank" w:history="1">
        <w:r w:rsidRPr="002A3736">
          <w:rPr>
            <w:rStyle w:val="Hyperlink"/>
          </w:rPr>
          <w:t>VNG</w:t>
        </w:r>
      </w:hyperlink>
      <w:r w:rsidRPr="002A3736">
        <w:t>.</w:t>
      </w:r>
    </w:p>
    <w:p w14:paraId="0F9B4F0E" w14:textId="77777777" w:rsidR="002A3736" w:rsidRPr="002A3736" w:rsidRDefault="002A3736" w:rsidP="002A3736">
      <w:pPr>
        <w:rPr>
          <w:b/>
          <w:bCs/>
        </w:rPr>
      </w:pPr>
      <w:r w:rsidRPr="002A3736">
        <w:rPr>
          <w:b/>
          <w:bCs/>
        </w:rPr>
        <w:t>Gemiddelde opnamecapaciteit</w:t>
      </w:r>
    </w:p>
    <w:p w14:paraId="54347F69" w14:textId="77777777" w:rsidR="002A3736" w:rsidRPr="002A3736" w:rsidRDefault="002A3736" w:rsidP="002A3736">
      <w:pPr>
        <w:numPr>
          <w:ilvl w:val="0"/>
          <w:numId w:val="8"/>
        </w:numPr>
      </w:pPr>
      <w:r w:rsidRPr="002A3736">
        <w:t xml:space="preserve">In </w:t>
      </w:r>
      <w:r w:rsidRPr="002A3736">
        <w:rPr>
          <w:b/>
          <w:bCs/>
        </w:rPr>
        <w:t>2020</w:t>
      </w:r>
      <w:r w:rsidRPr="002A3736">
        <w:t xml:space="preserve"> bedroeg de gemiddelde capaciteit van een COA-locatie </w:t>
      </w:r>
      <w:r w:rsidRPr="002A3736">
        <w:rPr>
          <w:b/>
          <w:bCs/>
        </w:rPr>
        <w:t>meer dan 500 bewoners</w:t>
      </w:r>
      <w:r w:rsidRPr="002A3736">
        <w:t>.</w:t>
      </w:r>
    </w:p>
    <w:p w14:paraId="7D08C93D" w14:textId="77777777" w:rsidR="002A3736" w:rsidRPr="002A3736" w:rsidRDefault="002A3736" w:rsidP="002A3736">
      <w:pPr>
        <w:numPr>
          <w:ilvl w:val="0"/>
          <w:numId w:val="8"/>
        </w:numPr>
      </w:pPr>
      <w:r w:rsidRPr="002A3736">
        <w:t xml:space="preserve">Tegen </w:t>
      </w:r>
      <w:r w:rsidRPr="002A3736">
        <w:rPr>
          <w:b/>
          <w:bCs/>
        </w:rPr>
        <w:t>2025</w:t>
      </w:r>
      <w:r w:rsidRPr="002A3736">
        <w:t xml:space="preserve"> is dat gemiddeld gedaald naar </w:t>
      </w:r>
      <w:r w:rsidRPr="002A3736">
        <w:rPr>
          <w:b/>
          <w:bCs/>
        </w:rPr>
        <w:t>net onder de 200 bewoners</w:t>
      </w:r>
      <w:r w:rsidRPr="002A3736">
        <w:t xml:space="preserve"> </w:t>
      </w:r>
      <w:hyperlink r:id="rId16" w:tgtFrame="_blank" w:history="1">
        <w:r w:rsidRPr="002A3736">
          <w:rPr>
            <w:rStyle w:val="Hyperlink"/>
          </w:rPr>
          <w:t>COA</w:t>
        </w:r>
      </w:hyperlink>
      <w:r w:rsidRPr="002A3736">
        <w:t>.</w:t>
      </w:r>
    </w:p>
    <w:p w14:paraId="551D3127" w14:textId="77777777" w:rsidR="002A3736" w:rsidRPr="002A3736" w:rsidRDefault="002A3736" w:rsidP="002A3736">
      <w:r w:rsidRPr="002A3736">
        <w:pict w14:anchorId="2EE73A00">
          <v:rect id="_x0000_i1051" style="width:0;height:1.5pt" o:hralign="center" o:hrstd="t" o:hr="t" fillcolor="#a0a0a0" stroked="f"/>
        </w:pict>
      </w:r>
    </w:p>
    <w:p w14:paraId="5BF39915" w14:textId="77777777" w:rsidR="002A3736" w:rsidRPr="002A3736" w:rsidRDefault="002A3736" w:rsidP="002A3736">
      <w:pPr>
        <w:rPr>
          <w:b/>
          <w:bCs/>
        </w:rPr>
      </w:pPr>
      <w:r w:rsidRPr="002A3736">
        <w:rPr>
          <w:b/>
          <w:bCs/>
        </w:rPr>
        <w:t>Samenvattend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6"/>
        <w:gridCol w:w="7336"/>
      </w:tblGrid>
      <w:tr w:rsidR="002A3736" w:rsidRPr="002A3736" w14:paraId="1F8B4D34" w14:textId="77777777" w:rsidTr="002A3736">
        <w:trPr>
          <w:tblHeader/>
          <w:tblCellSpacing w:w="15" w:type="dxa"/>
        </w:trPr>
        <w:tc>
          <w:tcPr>
            <w:tcW w:w="0" w:type="auto"/>
            <w:vAlign w:val="center"/>
            <w:hideMark/>
          </w:tcPr>
          <w:p w14:paraId="2B449465" w14:textId="77777777" w:rsidR="002A3736" w:rsidRPr="002A3736" w:rsidRDefault="002A3736" w:rsidP="002A3736">
            <w:pPr>
              <w:rPr>
                <w:b/>
                <w:bCs/>
              </w:rPr>
            </w:pPr>
            <w:r w:rsidRPr="002A3736">
              <w:rPr>
                <w:b/>
                <w:bCs/>
              </w:rPr>
              <w:t>Aspect</w:t>
            </w:r>
          </w:p>
        </w:tc>
        <w:tc>
          <w:tcPr>
            <w:tcW w:w="0" w:type="auto"/>
            <w:vAlign w:val="center"/>
            <w:hideMark/>
          </w:tcPr>
          <w:p w14:paraId="00FDB166" w14:textId="77777777" w:rsidR="002A3736" w:rsidRPr="002A3736" w:rsidRDefault="002A3736" w:rsidP="002A3736">
            <w:pPr>
              <w:rPr>
                <w:b/>
                <w:bCs/>
              </w:rPr>
            </w:pPr>
            <w:r w:rsidRPr="002A3736">
              <w:rPr>
                <w:b/>
                <w:bCs/>
              </w:rPr>
              <w:t>Details</w:t>
            </w:r>
          </w:p>
        </w:tc>
      </w:tr>
      <w:tr w:rsidR="002A3736" w:rsidRPr="002A3736" w14:paraId="63C4814D" w14:textId="77777777" w:rsidTr="002A3736">
        <w:trPr>
          <w:tblCellSpacing w:w="15" w:type="dxa"/>
        </w:trPr>
        <w:tc>
          <w:tcPr>
            <w:tcW w:w="0" w:type="auto"/>
            <w:vAlign w:val="center"/>
            <w:hideMark/>
          </w:tcPr>
          <w:p w14:paraId="3E1D91BE" w14:textId="77777777" w:rsidR="002A3736" w:rsidRPr="002A3736" w:rsidRDefault="002A3736" w:rsidP="002A3736">
            <w:r w:rsidRPr="002A3736">
              <w:rPr>
                <w:b/>
                <w:bCs/>
              </w:rPr>
              <w:t>Kleinschalige opvang</w:t>
            </w:r>
          </w:p>
        </w:tc>
        <w:tc>
          <w:tcPr>
            <w:tcW w:w="0" w:type="auto"/>
            <w:vAlign w:val="center"/>
            <w:hideMark/>
          </w:tcPr>
          <w:p w14:paraId="0F6D00CD" w14:textId="77777777" w:rsidR="002A3736" w:rsidRPr="002A3736" w:rsidRDefault="002A3736" w:rsidP="002A3736">
            <w:r w:rsidRPr="002A3736">
              <w:t>≤ ca. 150 plaatsen; geen vaste begeleiding; afhankelijk van externe voorzieningen; vanaf 100 bewoners: permanente beveiliging.</w:t>
            </w:r>
          </w:p>
        </w:tc>
      </w:tr>
      <w:tr w:rsidR="002A3736" w:rsidRPr="002A3736" w14:paraId="46977922" w14:textId="77777777" w:rsidTr="002A3736">
        <w:trPr>
          <w:tblCellSpacing w:w="15" w:type="dxa"/>
        </w:trPr>
        <w:tc>
          <w:tcPr>
            <w:tcW w:w="0" w:type="auto"/>
            <w:vAlign w:val="center"/>
            <w:hideMark/>
          </w:tcPr>
          <w:p w14:paraId="04A15618" w14:textId="77777777" w:rsidR="002A3736" w:rsidRPr="002A3736" w:rsidRDefault="002A3736" w:rsidP="002A3736">
            <w:r w:rsidRPr="002A3736">
              <w:rPr>
                <w:b/>
                <w:bCs/>
              </w:rPr>
              <w:t>Grote locaties</w:t>
            </w:r>
          </w:p>
        </w:tc>
        <w:tc>
          <w:tcPr>
            <w:tcW w:w="0" w:type="auto"/>
            <w:vAlign w:val="center"/>
            <w:hideMark/>
          </w:tcPr>
          <w:p w14:paraId="3C709882" w14:textId="77777777" w:rsidR="002A3736" w:rsidRPr="002A3736" w:rsidRDefault="002A3736" w:rsidP="002A3736">
            <w:r w:rsidRPr="002A3736">
              <w:t>Efficiënter met voorzieningen; gemiddeld 2025: &lt; 200 bewoners; 2020: &gt; 500 bewoners.</w:t>
            </w:r>
          </w:p>
        </w:tc>
      </w:tr>
      <w:tr w:rsidR="002A3736" w:rsidRPr="002A3736" w14:paraId="410FEEFF" w14:textId="77777777" w:rsidTr="002A3736">
        <w:trPr>
          <w:tblCellSpacing w:w="15" w:type="dxa"/>
        </w:trPr>
        <w:tc>
          <w:tcPr>
            <w:tcW w:w="0" w:type="auto"/>
            <w:vAlign w:val="center"/>
            <w:hideMark/>
          </w:tcPr>
          <w:p w14:paraId="3C0EF940" w14:textId="77777777" w:rsidR="002A3736" w:rsidRPr="002A3736" w:rsidRDefault="002A3736" w:rsidP="002A3736">
            <w:r w:rsidRPr="002A3736">
              <w:rPr>
                <w:b/>
                <w:bCs/>
              </w:rPr>
              <w:t>Beleid</w:t>
            </w:r>
          </w:p>
        </w:tc>
        <w:tc>
          <w:tcPr>
            <w:tcW w:w="0" w:type="auto"/>
            <w:vAlign w:val="center"/>
            <w:hideMark/>
          </w:tcPr>
          <w:p w14:paraId="257CD54F" w14:textId="77777777" w:rsidR="002A3736" w:rsidRPr="002A3736" w:rsidRDefault="002A3736" w:rsidP="002A3736">
            <w:r w:rsidRPr="002A3736">
              <w:t>COA streeft naar een mix van beide: kleinschalig voor integratie, groot voor efficiëntie en flexibiliteit.</w:t>
            </w:r>
          </w:p>
        </w:tc>
      </w:tr>
      <w:tr w:rsidR="002A3736" w:rsidRPr="002A3736" w14:paraId="2582F5D2" w14:textId="77777777" w:rsidTr="002A3736">
        <w:trPr>
          <w:tblCellSpacing w:w="15" w:type="dxa"/>
        </w:trPr>
        <w:tc>
          <w:tcPr>
            <w:tcW w:w="0" w:type="auto"/>
            <w:vAlign w:val="center"/>
            <w:hideMark/>
          </w:tcPr>
          <w:p w14:paraId="1B50886D" w14:textId="77777777" w:rsidR="002A3736" w:rsidRPr="002A3736" w:rsidRDefault="002A3736" w:rsidP="002A3736">
            <w:r w:rsidRPr="002A3736">
              <w:rPr>
                <w:b/>
                <w:bCs/>
              </w:rPr>
              <w:t>Samenwerking</w:t>
            </w:r>
          </w:p>
        </w:tc>
        <w:tc>
          <w:tcPr>
            <w:tcW w:w="0" w:type="auto"/>
            <w:vAlign w:val="center"/>
            <w:hideMark/>
          </w:tcPr>
          <w:p w14:paraId="7B8E84A0" w14:textId="77777777" w:rsidR="002A3736" w:rsidRPr="002A3736" w:rsidRDefault="002A3736" w:rsidP="002A3736">
            <w:r w:rsidRPr="002A3736">
              <w:t>Rode Kruis ondersteunt bij kleinere locaties (≥ 50 bewoners), maar COA blijft eindverantwoordelijk.</w:t>
            </w:r>
          </w:p>
        </w:tc>
      </w:tr>
    </w:tbl>
    <w:p w14:paraId="2C1D5155" w14:textId="77777777" w:rsidR="002A3736" w:rsidRPr="002A3736" w:rsidRDefault="002A3736" w:rsidP="002A3736">
      <w:r w:rsidRPr="002A3736">
        <w:pict w14:anchorId="77A8EE4F">
          <v:rect id="_x0000_i1052" style="width:0;height:1.5pt" o:hralign="center" o:hrstd="t" o:hr="t" fillcolor="#a0a0a0" stroked="f"/>
        </w:pict>
      </w:r>
    </w:p>
    <w:p w14:paraId="3200ACDB" w14:textId="77777777" w:rsidR="002A3736" w:rsidRPr="002A3736" w:rsidRDefault="002A3736" w:rsidP="002A3736">
      <w:r w:rsidRPr="002A3736">
        <w:pict w14:anchorId="26CB4483">
          <v:rect id="_x0000_i1053" style="width:0;height:1.5pt" o:hralign="center" o:hrstd="t" o:hr="t" fillcolor="#a0a0a0" stroked="f"/>
        </w:pict>
      </w:r>
    </w:p>
    <w:p w14:paraId="5EF41F87" w14:textId="77777777" w:rsidR="002A3736" w:rsidRPr="002A3736" w:rsidRDefault="002A3736" w:rsidP="002A3736">
      <w:pPr>
        <w:rPr>
          <w:b/>
          <w:bCs/>
        </w:rPr>
      </w:pPr>
      <w:r w:rsidRPr="002A3736">
        <w:rPr>
          <w:rFonts w:ascii="Segoe UI Emoji" w:hAnsi="Segoe UI Emoji" w:cs="Segoe UI Emoji"/>
          <w:b/>
          <w:bCs/>
        </w:rPr>
        <w:t>📊</w:t>
      </w:r>
      <w:r w:rsidRPr="002A3736">
        <w:rPr>
          <w:b/>
          <w:bCs/>
        </w:rPr>
        <w:t xml:space="preserve"> COA-beleid opvanglocaties</w:t>
      </w:r>
    </w:p>
    <w:p w14:paraId="566A734E" w14:textId="77777777" w:rsidR="002A3736" w:rsidRPr="002A3736" w:rsidRDefault="002A3736" w:rsidP="002A3736">
      <w:pPr>
        <w:rPr>
          <w:b/>
          <w:bCs/>
        </w:rPr>
      </w:pPr>
      <w:r w:rsidRPr="002A3736">
        <w:rPr>
          <w:rFonts w:ascii="Segoe UI Emoji" w:hAnsi="Segoe UI Emoji" w:cs="Segoe UI Emoji"/>
          <w:b/>
          <w:bCs/>
        </w:rPr>
        <w:t>🔹</w:t>
      </w:r>
      <w:r w:rsidRPr="002A3736">
        <w:rPr>
          <w:b/>
          <w:bCs/>
        </w:rPr>
        <w:t xml:space="preserve"> Kleinschalige opvang</w:t>
      </w:r>
    </w:p>
    <w:p w14:paraId="4CD65B71" w14:textId="77777777" w:rsidR="002A3736" w:rsidRPr="002A3736" w:rsidRDefault="002A3736" w:rsidP="002A3736">
      <w:pPr>
        <w:numPr>
          <w:ilvl w:val="0"/>
          <w:numId w:val="9"/>
        </w:numPr>
      </w:pPr>
      <w:r w:rsidRPr="002A3736">
        <w:t xml:space="preserve">≤ </w:t>
      </w:r>
      <w:r w:rsidRPr="002A3736">
        <w:rPr>
          <w:b/>
          <w:bCs/>
        </w:rPr>
        <w:t>150 bewoners</w:t>
      </w:r>
    </w:p>
    <w:p w14:paraId="567ECB4D" w14:textId="77777777" w:rsidR="002A3736" w:rsidRPr="002A3736" w:rsidRDefault="002A3736" w:rsidP="002A3736">
      <w:pPr>
        <w:numPr>
          <w:ilvl w:val="0"/>
          <w:numId w:val="9"/>
        </w:numPr>
      </w:pPr>
      <w:r w:rsidRPr="002A3736">
        <w:t>Geen vaste begeleiding → voorzieningen in de buurt</w:t>
      </w:r>
    </w:p>
    <w:p w14:paraId="594A2D3A" w14:textId="77777777" w:rsidR="002A3736" w:rsidRPr="002A3736" w:rsidRDefault="002A3736" w:rsidP="002A3736">
      <w:pPr>
        <w:numPr>
          <w:ilvl w:val="0"/>
          <w:numId w:val="9"/>
        </w:numPr>
      </w:pPr>
      <w:r w:rsidRPr="002A3736">
        <w:t xml:space="preserve">Vanaf </w:t>
      </w:r>
      <w:r w:rsidRPr="002A3736">
        <w:rPr>
          <w:b/>
          <w:bCs/>
        </w:rPr>
        <w:t>100 bewoners</w:t>
      </w:r>
      <w:r w:rsidRPr="002A3736">
        <w:t>: permanente beveiliging</w:t>
      </w:r>
    </w:p>
    <w:p w14:paraId="0DB5E543" w14:textId="77777777" w:rsidR="002A3736" w:rsidRPr="002A3736" w:rsidRDefault="002A3736" w:rsidP="002A3736">
      <w:pPr>
        <w:numPr>
          <w:ilvl w:val="0"/>
          <w:numId w:val="9"/>
        </w:numPr>
      </w:pPr>
      <w:r w:rsidRPr="002A3736">
        <w:t xml:space="preserve">Beter voor </w:t>
      </w:r>
      <w:r w:rsidRPr="002A3736">
        <w:rPr>
          <w:b/>
          <w:bCs/>
        </w:rPr>
        <w:t>integratie &amp; draagvlak</w:t>
      </w:r>
    </w:p>
    <w:p w14:paraId="1628F0FE" w14:textId="77777777" w:rsidR="002A3736" w:rsidRPr="002A3736" w:rsidRDefault="002A3736" w:rsidP="002A3736">
      <w:pPr>
        <w:rPr>
          <w:b/>
          <w:bCs/>
        </w:rPr>
      </w:pPr>
      <w:r w:rsidRPr="002A3736">
        <w:rPr>
          <w:rFonts w:ascii="Segoe UI Emoji" w:hAnsi="Segoe UI Emoji" w:cs="Segoe UI Emoji"/>
          <w:b/>
          <w:bCs/>
        </w:rPr>
        <w:t>🔹</w:t>
      </w:r>
      <w:r w:rsidRPr="002A3736">
        <w:rPr>
          <w:b/>
          <w:bCs/>
        </w:rPr>
        <w:t xml:space="preserve"> Grotere locaties</w:t>
      </w:r>
    </w:p>
    <w:p w14:paraId="3BB1F5D9" w14:textId="77777777" w:rsidR="002A3736" w:rsidRPr="002A3736" w:rsidRDefault="002A3736" w:rsidP="002A3736">
      <w:pPr>
        <w:numPr>
          <w:ilvl w:val="0"/>
          <w:numId w:val="10"/>
        </w:numPr>
      </w:pPr>
      <w:r w:rsidRPr="002A3736">
        <w:t xml:space="preserve">Vaak </w:t>
      </w:r>
      <w:r w:rsidRPr="002A3736">
        <w:rPr>
          <w:b/>
          <w:bCs/>
        </w:rPr>
        <w:t>200–500+ bewoners</w:t>
      </w:r>
    </w:p>
    <w:p w14:paraId="35315ACD" w14:textId="77777777" w:rsidR="002A3736" w:rsidRPr="002A3736" w:rsidRDefault="002A3736" w:rsidP="002A3736">
      <w:pPr>
        <w:numPr>
          <w:ilvl w:val="0"/>
          <w:numId w:val="10"/>
        </w:numPr>
      </w:pPr>
      <w:r w:rsidRPr="002A3736">
        <w:t>Efficiënter qua zorg, onderwijs, beveiliging</w:t>
      </w:r>
    </w:p>
    <w:p w14:paraId="41754390" w14:textId="77777777" w:rsidR="002A3736" w:rsidRPr="002A3736" w:rsidRDefault="002A3736" w:rsidP="002A3736">
      <w:pPr>
        <w:numPr>
          <w:ilvl w:val="0"/>
          <w:numId w:val="10"/>
        </w:numPr>
      </w:pPr>
      <w:r w:rsidRPr="002A3736">
        <w:t>Lagere kosten per plek</w:t>
      </w:r>
    </w:p>
    <w:p w14:paraId="4AADC407" w14:textId="77777777" w:rsidR="002A3736" w:rsidRPr="002A3736" w:rsidRDefault="002A3736" w:rsidP="002A3736">
      <w:pPr>
        <w:numPr>
          <w:ilvl w:val="0"/>
          <w:numId w:val="10"/>
        </w:numPr>
      </w:pPr>
      <w:r w:rsidRPr="002A3736">
        <w:t xml:space="preserve">Noodzakelijk voor </w:t>
      </w:r>
      <w:r w:rsidRPr="002A3736">
        <w:rPr>
          <w:b/>
          <w:bCs/>
        </w:rPr>
        <w:t>landelijke opvangcapaciteit</w:t>
      </w:r>
    </w:p>
    <w:p w14:paraId="07461CC9" w14:textId="77777777" w:rsidR="002A3736" w:rsidRPr="002A3736" w:rsidRDefault="002A3736" w:rsidP="002A3736">
      <w:pPr>
        <w:rPr>
          <w:b/>
          <w:bCs/>
        </w:rPr>
      </w:pPr>
      <w:r w:rsidRPr="002A3736">
        <w:rPr>
          <w:rFonts w:ascii="Segoe UI Emoji" w:hAnsi="Segoe UI Emoji" w:cs="Segoe UI Emoji"/>
          <w:b/>
          <w:bCs/>
        </w:rPr>
        <w:t>🔹</w:t>
      </w:r>
      <w:r w:rsidRPr="002A3736">
        <w:rPr>
          <w:b/>
          <w:bCs/>
        </w:rPr>
        <w:t xml:space="preserve"> Beleid &amp; trends</w:t>
      </w:r>
    </w:p>
    <w:p w14:paraId="27CAEF23" w14:textId="77777777" w:rsidR="002A3736" w:rsidRPr="002A3736" w:rsidRDefault="002A3736" w:rsidP="002A3736">
      <w:pPr>
        <w:numPr>
          <w:ilvl w:val="0"/>
          <w:numId w:val="11"/>
        </w:numPr>
      </w:pPr>
      <w:r w:rsidRPr="002A3736">
        <w:t xml:space="preserve">2020: </w:t>
      </w:r>
      <w:r w:rsidRPr="002A3736">
        <w:rPr>
          <w:b/>
          <w:bCs/>
        </w:rPr>
        <w:t>82% groot – 18% klein</w:t>
      </w:r>
    </w:p>
    <w:p w14:paraId="2F44DA52" w14:textId="77777777" w:rsidR="002A3736" w:rsidRPr="002A3736" w:rsidRDefault="002A3736" w:rsidP="002A3736">
      <w:pPr>
        <w:numPr>
          <w:ilvl w:val="0"/>
          <w:numId w:val="11"/>
        </w:numPr>
      </w:pPr>
      <w:r w:rsidRPr="002A3736">
        <w:t xml:space="preserve">2025: </w:t>
      </w:r>
      <w:r w:rsidRPr="002A3736">
        <w:rPr>
          <w:b/>
          <w:bCs/>
        </w:rPr>
        <w:t>35% groot – 65% klein</w:t>
      </w:r>
    </w:p>
    <w:p w14:paraId="7F785600" w14:textId="77777777" w:rsidR="002A3736" w:rsidRPr="002A3736" w:rsidRDefault="002A3736" w:rsidP="002A3736">
      <w:pPr>
        <w:numPr>
          <w:ilvl w:val="0"/>
          <w:numId w:val="11"/>
        </w:numPr>
      </w:pPr>
      <w:r w:rsidRPr="002A3736">
        <w:t xml:space="preserve">Gemiddelde locatiegrootte gedaald: </w:t>
      </w:r>
      <w:r w:rsidRPr="002A3736">
        <w:rPr>
          <w:b/>
          <w:bCs/>
        </w:rPr>
        <w:t>&gt;500 → &lt;200 bewoners</w:t>
      </w:r>
    </w:p>
    <w:p w14:paraId="46883283" w14:textId="77777777" w:rsidR="002A3736" w:rsidRPr="002A3736" w:rsidRDefault="002A3736" w:rsidP="002A3736">
      <w:pPr>
        <w:rPr>
          <w:b/>
          <w:bCs/>
        </w:rPr>
      </w:pPr>
      <w:r w:rsidRPr="002A3736">
        <w:rPr>
          <w:rFonts w:ascii="Segoe UI Emoji" w:hAnsi="Segoe UI Emoji" w:cs="Segoe UI Emoji"/>
          <w:b/>
          <w:bCs/>
        </w:rPr>
        <w:t>🔹</w:t>
      </w:r>
      <w:r w:rsidRPr="002A3736">
        <w:rPr>
          <w:b/>
          <w:bCs/>
        </w:rPr>
        <w:t xml:space="preserve"> Samenwerking</w:t>
      </w:r>
    </w:p>
    <w:p w14:paraId="7206B6CF" w14:textId="77777777" w:rsidR="002A3736" w:rsidRPr="002A3736" w:rsidRDefault="002A3736" w:rsidP="002A3736">
      <w:pPr>
        <w:numPr>
          <w:ilvl w:val="0"/>
          <w:numId w:val="12"/>
        </w:numPr>
      </w:pPr>
      <w:r w:rsidRPr="002A3736">
        <w:rPr>
          <w:b/>
          <w:bCs/>
        </w:rPr>
        <w:t>Rode Kruis</w:t>
      </w:r>
      <w:r w:rsidRPr="002A3736">
        <w:t xml:space="preserve"> helpt bij kleine locaties (vanaf ±50 bewoners)</w:t>
      </w:r>
    </w:p>
    <w:p w14:paraId="06A020A2" w14:textId="77777777" w:rsidR="002A3736" w:rsidRPr="002A3736" w:rsidRDefault="002A3736" w:rsidP="002A3736">
      <w:pPr>
        <w:numPr>
          <w:ilvl w:val="0"/>
          <w:numId w:val="12"/>
        </w:numPr>
      </w:pPr>
      <w:r w:rsidRPr="002A3736">
        <w:t>COA blijft eindverantwoordelijk</w:t>
      </w:r>
    </w:p>
    <w:p w14:paraId="27F5502D" w14:textId="18E0C3E2" w:rsidR="00B83438" w:rsidRDefault="00B83438">
      <w:r>
        <w:t>Eventule tekst persbericht</w:t>
      </w:r>
    </w:p>
    <w:p w14:paraId="59D5C981" w14:textId="546C23D2" w:rsidR="00E1206D" w:rsidRDefault="00E1206D">
      <w:r w:rsidRPr="00E1206D">
        <w:t>Feit is dat Gemeente Tynaarllo is gebonden de wet en regelgeving uit Den Haag. Daar ontkomen we niet aan. Echter hebben wij de verantwoordelijkheid naar onze inwoners. Dat betekend voor Tynaarlo dat er waarschijnlijk Te weinig plekken zullen zijn, het Inefficiënt is voor COA, nog steeds hopelijk Tijdelijk zal zijn, er veel Weerstand in de buurt is, met een Beperkte solidariteit, veel Druk op voorzieningen en tenslotte Weinig integratiekansen zijn. Daarom zullen wij bij de Opvang van asielzoekers doen wat een wettelijke taak van het Rijk/COA is en niet van de  gemeenten Tynaarlo, want Gemeenten leveren vooral locaties en vergunningen. Doen waartoe we wettelijk verplicht zijn en niet kunnen tegenhouden maar meer ook niet.</w:t>
      </w:r>
    </w:p>
    <w:sectPr w:rsidR="00E120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E66"/>
    <w:multiLevelType w:val="multilevel"/>
    <w:tmpl w:val="37B8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05EAE"/>
    <w:multiLevelType w:val="multilevel"/>
    <w:tmpl w:val="0E901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72DBB"/>
    <w:multiLevelType w:val="multilevel"/>
    <w:tmpl w:val="2688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5E2730"/>
    <w:multiLevelType w:val="multilevel"/>
    <w:tmpl w:val="519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201F6"/>
    <w:multiLevelType w:val="multilevel"/>
    <w:tmpl w:val="BCAA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F6EC8"/>
    <w:multiLevelType w:val="multilevel"/>
    <w:tmpl w:val="7182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BA181F"/>
    <w:multiLevelType w:val="multilevel"/>
    <w:tmpl w:val="3D2E8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EE3B26"/>
    <w:multiLevelType w:val="multilevel"/>
    <w:tmpl w:val="D29E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7F41E5"/>
    <w:multiLevelType w:val="multilevel"/>
    <w:tmpl w:val="4E72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125626"/>
    <w:multiLevelType w:val="multilevel"/>
    <w:tmpl w:val="943E90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EE433C"/>
    <w:multiLevelType w:val="multilevel"/>
    <w:tmpl w:val="0E901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4625D"/>
    <w:multiLevelType w:val="multilevel"/>
    <w:tmpl w:val="B916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EE5FBF"/>
    <w:multiLevelType w:val="multilevel"/>
    <w:tmpl w:val="C5A4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267961">
    <w:abstractNumId w:val="9"/>
  </w:num>
  <w:num w:numId="2" w16cid:durableId="856233691">
    <w:abstractNumId w:val="1"/>
  </w:num>
  <w:num w:numId="3" w16cid:durableId="439837917">
    <w:abstractNumId w:val="5"/>
  </w:num>
  <w:num w:numId="4" w16cid:durableId="156042656">
    <w:abstractNumId w:val="6"/>
  </w:num>
  <w:num w:numId="5" w16cid:durableId="1097094530">
    <w:abstractNumId w:val="11"/>
  </w:num>
  <w:num w:numId="6" w16cid:durableId="292946940">
    <w:abstractNumId w:val="3"/>
  </w:num>
  <w:num w:numId="7" w16cid:durableId="2079013358">
    <w:abstractNumId w:val="12"/>
  </w:num>
  <w:num w:numId="8" w16cid:durableId="329219238">
    <w:abstractNumId w:val="4"/>
  </w:num>
  <w:num w:numId="9" w16cid:durableId="618995268">
    <w:abstractNumId w:val="7"/>
  </w:num>
  <w:num w:numId="10" w16cid:durableId="440952962">
    <w:abstractNumId w:val="8"/>
  </w:num>
  <w:num w:numId="11" w16cid:durableId="1834493157">
    <w:abstractNumId w:val="0"/>
  </w:num>
  <w:num w:numId="12" w16cid:durableId="1297368792">
    <w:abstractNumId w:val="2"/>
  </w:num>
  <w:num w:numId="13" w16cid:durableId="4815834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736"/>
    <w:rsid w:val="000D678B"/>
    <w:rsid w:val="001C49F8"/>
    <w:rsid w:val="0021305E"/>
    <w:rsid w:val="00217A65"/>
    <w:rsid w:val="002A3736"/>
    <w:rsid w:val="003121AB"/>
    <w:rsid w:val="00352DFF"/>
    <w:rsid w:val="00383130"/>
    <w:rsid w:val="00476055"/>
    <w:rsid w:val="004A1784"/>
    <w:rsid w:val="00703B9F"/>
    <w:rsid w:val="0075049B"/>
    <w:rsid w:val="007968EF"/>
    <w:rsid w:val="007F1C78"/>
    <w:rsid w:val="0093486A"/>
    <w:rsid w:val="00947DEC"/>
    <w:rsid w:val="009927CE"/>
    <w:rsid w:val="00A568C9"/>
    <w:rsid w:val="00B83438"/>
    <w:rsid w:val="00BE1433"/>
    <w:rsid w:val="00C0495A"/>
    <w:rsid w:val="00DC3A70"/>
    <w:rsid w:val="00E1206D"/>
    <w:rsid w:val="00E85C65"/>
    <w:rsid w:val="00EB41C1"/>
    <w:rsid w:val="00F64B67"/>
    <w:rsid w:val="00F84868"/>
    <w:rsid w:val="00FA71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4326"/>
  <w15:chartTrackingRefBased/>
  <w15:docId w15:val="{CD1A0B03-A446-4867-9A8C-FA03E76F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2A37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A37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A373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A373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A373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A373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373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373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373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3736"/>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2A3736"/>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2A3736"/>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2A3736"/>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2A3736"/>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2A3736"/>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2A3736"/>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2A3736"/>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2A3736"/>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2A3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3736"/>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2A373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3736"/>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2A373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3736"/>
    <w:rPr>
      <w:i/>
      <w:iCs/>
      <w:noProof/>
      <w:color w:val="404040" w:themeColor="text1" w:themeTint="BF"/>
    </w:rPr>
  </w:style>
  <w:style w:type="paragraph" w:styleId="Lijstalinea">
    <w:name w:val="List Paragraph"/>
    <w:basedOn w:val="Standaard"/>
    <w:uiPriority w:val="34"/>
    <w:qFormat/>
    <w:rsid w:val="002A3736"/>
    <w:pPr>
      <w:ind w:left="720"/>
      <w:contextualSpacing/>
    </w:pPr>
  </w:style>
  <w:style w:type="character" w:styleId="Intensievebenadrukking">
    <w:name w:val="Intense Emphasis"/>
    <w:basedOn w:val="Standaardalinea-lettertype"/>
    <w:uiPriority w:val="21"/>
    <w:qFormat/>
    <w:rsid w:val="002A3736"/>
    <w:rPr>
      <w:i/>
      <w:iCs/>
      <w:color w:val="2F5496" w:themeColor="accent1" w:themeShade="BF"/>
    </w:rPr>
  </w:style>
  <w:style w:type="paragraph" w:styleId="Duidelijkcitaat">
    <w:name w:val="Intense Quote"/>
    <w:basedOn w:val="Standaard"/>
    <w:next w:val="Standaard"/>
    <w:link w:val="DuidelijkcitaatChar"/>
    <w:uiPriority w:val="30"/>
    <w:qFormat/>
    <w:rsid w:val="002A37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A3736"/>
    <w:rPr>
      <w:i/>
      <w:iCs/>
      <w:noProof/>
      <w:color w:val="2F5496" w:themeColor="accent1" w:themeShade="BF"/>
    </w:rPr>
  </w:style>
  <w:style w:type="character" w:styleId="Intensieveverwijzing">
    <w:name w:val="Intense Reference"/>
    <w:basedOn w:val="Standaardalinea-lettertype"/>
    <w:uiPriority w:val="32"/>
    <w:qFormat/>
    <w:rsid w:val="002A3736"/>
    <w:rPr>
      <w:b/>
      <w:bCs/>
      <w:smallCaps/>
      <w:color w:val="2F5496" w:themeColor="accent1" w:themeShade="BF"/>
      <w:spacing w:val="5"/>
    </w:rPr>
  </w:style>
  <w:style w:type="character" w:styleId="Hyperlink">
    <w:name w:val="Hyperlink"/>
    <w:basedOn w:val="Standaardalinea-lettertype"/>
    <w:uiPriority w:val="99"/>
    <w:unhideWhenUsed/>
    <w:rsid w:val="002A3736"/>
    <w:rPr>
      <w:color w:val="0563C1" w:themeColor="hyperlink"/>
      <w:u w:val="single"/>
    </w:rPr>
  </w:style>
  <w:style w:type="character" w:styleId="Onopgelostemelding">
    <w:name w:val="Unresolved Mention"/>
    <w:basedOn w:val="Standaardalinea-lettertype"/>
    <w:uiPriority w:val="99"/>
    <w:semiHidden/>
    <w:unhideWhenUsed/>
    <w:rsid w:val="002A3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854383">
      <w:bodyDiv w:val="1"/>
      <w:marLeft w:val="0"/>
      <w:marRight w:val="0"/>
      <w:marTop w:val="0"/>
      <w:marBottom w:val="0"/>
      <w:divBdr>
        <w:top w:val="none" w:sz="0" w:space="0" w:color="auto"/>
        <w:left w:val="none" w:sz="0" w:space="0" w:color="auto"/>
        <w:bottom w:val="none" w:sz="0" w:space="0" w:color="auto"/>
        <w:right w:val="none" w:sz="0" w:space="0" w:color="auto"/>
      </w:divBdr>
      <w:divsChild>
        <w:div w:id="1525971999">
          <w:marLeft w:val="0"/>
          <w:marRight w:val="0"/>
          <w:marTop w:val="0"/>
          <w:marBottom w:val="0"/>
          <w:divBdr>
            <w:top w:val="none" w:sz="0" w:space="0" w:color="auto"/>
            <w:left w:val="none" w:sz="0" w:space="0" w:color="auto"/>
            <w:bottom w:val="none" w:sz="0" w:space="0" w:color="auto"/>
            <w:right w:val="none" w:sz="0" w:space="0" w:color="auto"/>
          </w:divBdr>
          <w:divsChild>
            <w:div w:id="349067192">
              <w:marLeft w:val="0"/>
              <w:marRight w:val="0"/>
              <w:marTop w:val="0"/>
              <w:marBottom w:val="0"/>
              <w:divBdr>
                <w:top w:val="none" w:sz="0" w:space="0" w:color="auto"/>
                <w:left w:val="none" w:sz="0" w:space="0" w:color="auto"/>
                <w:bottom w:val="none" w:sz="0" w:space="0" w:color="auto"/>
                <w:right w:val="none" w:sz="0" w:space="0" w:color="auto"/>
              </w:divBdr>
              <w:divsChild>
                <w:div w:id="873425644">
                  <w:marLeft w:val="0"/>
                  <w:marRight w:val="0"/>
                  <w:marTop w:val="0"/>
                  <w:marBottom w:val="0"/>
                  <w:divBdr>
                    <w:top w:val="none" w:sz="0" w:space="0" w:color="auto"/>
                    <w:left w:val="none" w:sz="0" w:space="0" w:color="auto"/>
                    <w:bottom w:val="none" w:sz="0" w:space="0" w:color="auto"/>
                    <w:right w:val="none" w:sz="0" w:space="0" w:color="auto"/>
                  </w:divBdr>
                  <w:divsChild>
                    <w:div w:id="923030542">
                      <w:marLeft w:val="0"/>
                      <w:marRight w:val="0"/>
                      <w:marTop w:val="0"/>
                      <w:marBottom w:val="0"/>
                      <w:divBdr>
                        <w:top w:val="none" w:sz="0" w:space="0" w:color="auto"/>
                        <w:left w:val="none" w:sz="0" w:space="0" w:color="auto"/>
                        <w:bottom w:val="none" w:sz="0" w:space="0" w:color="auto"/>
                        <w:right w:val="none" w:sz="0" w:space="0" w:color="auto"/>
                      </w:divBdr>
                      <w:divsChild>
                        <w:div w:id="543443734">
                          <w:marLeft w:val="0"/>
                          <w:marRight w:val="0"/>
                          <w:marTop w:val="0"/>
                          <w:marBottom w:val="0"/>
                          <w:divBdr>
                            <w:top w:val="none" w:sz="0" w:space="0" w:color="auto"/>
                            <w:left w:val="none" w:sz="0" w:space="0" w:color="auto"/>
                            <w:bottom w:val="none" w:sz="0" w:space="0" w:color="auto"/>
                            <w:right w:val="none" w:sz="0" w:space="0" w:color="auto"/>
                          </w:divBdr>
                          <w:divsChild>
                            <w:div w:id="3952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123875">
          <w:marLeft w:val="0"/>
          <w:marRight w:val="0"/>
          <w:marTop w:val="0"/>
          <w:marBottom w:val="0"/>
          <w:divBdr>
            <w:top w:val="none" w:sz="0" w:space="0" w:color="auto"/>
            <w:left w:val="none" w:sz="0" w:space="0" w:color="auto"/>
            <w:bottom w:val="none" w:sz="0" w:space="0" w:color="auto"/>
            <w:right w:val="none" w:sz="0" w:space="0" w:color="auto"/>
          </w:divBdr>
          <w:divsChild>
            <w:div w:id="521935670">
              <w:marLeft w:val="0"/>
              <w:marRight w:val="0"/>
              <w:marTop w:val="0"/>
              <w:marBottom w:val="0"/>
              <w:divBdr>
                <w:top w:val="none" w:sz="0" w:space="0" w:color="auto"/>
                <w:left w:val="none" w:sz="0" w:space="0" w:color="auto"/>
                <w:bottom w:val="none" w:sz="0" w:space="0" w:color="auto"/>
                <w:right w:val="none" w:sz="0" w:space="0" w:color="auto"/>
              </w:divBdr>
              <w:divsChild>
                <w:div w:id="761146151">
                  <w:marLeft w:val="0"/>
                  <w:marRight w:val="0"/>
                  <w:marTop w:val="0"/>
                  <w:marBottom w:val="0"/>
                  <w:divBdr>
                    <w:top w:val="none" w:sz="0" w:space="0" w:color="auto"/>
                    <w:left w:val="none" w:sz="0" w:space="0" w:color="auto"/>
                    <w:bottom w:val="none" w:sz="0" w:space="0" w:color="auto"/>
                    <w:right w:val="none" w:sz="0" w:space="0" w:color="auto"/>
                  </w:divBdr>
                  <w:divsChild>
                    <w:div w:id="1755586693">
                      <w:marLeft w:val="0"/>
                      <w:marRight w:val="0"/>
                      <w:marTop w:val="0"/>
                      <w:marBottom w:val="0"/>
                      <w:divBdr>
                        <w:top w:val="none" w:sz="0" w:space="0" w:color="auto"/>
                        <w:left w:val="none" w:sz="0" w:space="0" w:color="auto"/>
                        <w:bottom w:val="none" w:sz="0" w:space="0" w:color="auto"/>
                        <w:right w:val="none" w:sz="0" w:space="0" w:color="auto"/>
                      </w:divBdr>
                      <w:divsChild>
                        <w:div w:id="88284682">
                          <w:marLeft w:val="0"/>
                          <w:marRight w:val="0"/>
                          <w:marTop w:val="0"/>
                          <w:marBottom w:val="0"/>
                          <w:divBdr>
                            <w:top w:val="none" w:sz="0" w:space="0" w:color="auto"/>
                            <w:left w:val="none" w:sz="0" w:space="0" w:color="auto"/>
                            <w:bottom w:val="none" w:sz="0" w:space="0" w:color="auto"/>
                            <w:right w:val="none" w:sz="0" w:space="0" w:color="auto"/>
                          </w:divBdr>
                          <w:divsChild>
                            <w:div w:id="1514862">
                              <w:marLeft w:val="0"/>
                              <w:marRight w:val="0"/>
                              <w:marTop w:val="0"/>
                              <w:marBottom w:val="0"/>
                              <w:divBdr>
                                <w:top w:val="none" w:sz="0" w:space="0" w:color="auto"/>
                                <w:left w:val="none" w:sz="0" w:space="0" w:color="auto"/>
                                <w:bottom w:val="none" w:sz="0" w:space="0" w:color="auto"/>
                                <w:right w:val="none" w:sz="0" w:space="0" w:color="auto"/>
                              </w:divBdr>
                              <w:divsChild>
                                <w:div w:id="166153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41946">
          <w:marLeft w:val="0"/>
          <w:marRight w:val="0"/>
          <w:marTop w:val="0"/>
          <w:marBottom w:val="0"/>
          <w:divBdr>
            <w:top w:val="none" w:sz="0" w:space="0" w:color="auto"/>
            <w:left w:val="none" w:sz="0" w:space="0" w:color="auto"/>
            <w:bottom w:val="none" w:sz="0" w:space="0" w:color="auto"/>
            <w:right w:val="none" w:sz="0" w:space="0" w:color="auto"/>
          </w:divBdr>
          <w:divsChild>
            <w:div w:id="1658151276">
              <w:marLeft w:val="0"/>
              <w:marRight w:val="0"/>
              <w:marTop w:val="0"/>
              <w:marBottom w:val="0"/>
              <w:divBdr>
                <w:top w:val="none" w:sz="0" w:space="0" w:color="auto"/>
                <w:left w:val="none" w:sz="0" w:space="0" w:color="auto"/>
                <w:bottom w:val="none" w:sz="0" w:space="0" w:color="auto"/>
                <w:right w:val="none" w:sz="0" w:space="0" w:color="auto"/>
              </w:divBdr>
              <w:divsChild>
                <w:div w:id="1401712283">
                  <w:marLeft w:val="0"/>
                  <w:marRight w:val="0"/>
                  <w:marTop w:val="0"/>
                  <w:marBottom w:val="0"/>
                  <w:divBdr>
                    <w:top w:val="none" w:sz="0" w:space="0" w:color="auto"/>
                    <w:left w:val="none" w:sz="0" w:space="0" w:color="auto"/>
                    <w:bottom w:val="none" w:sz="0" w:space="0" w:color="auto"/>
                    <w:right w:val="none" w:sz="0" w:space="0" w:color="auto"/>
                  </w:divBdr>
                  <w:divsChild>
                    <w:div w:id="575631010">
                      <w:marLeft w:val="0"/>
                      <w:marRight w:val="0"/>
                      <w:marTop w:val="0"/>
                      <w:marBottom w:val="0"/>
                      <w:divBdr>
                        <w:top w:val="none" w:sz="0" w:space="0" w:color="auto"/>
                        <w:left w:val="none" w:sz="0" w:space="0" w:color="auto"/>
                        <w:bottom w:val="none" w:sz="0" w:space="0" w:color="auto"/>
                        <w:right w:val="none" w:sz="0" w:space="0" w:color="auto"/>
                      </w:divBdr>
                      <w:divsChild>
                        <w:div w:id="1918979161">
                          <w:marLeft w:val="0"/>
                          <w:marRight w:val="0"/>
                          <w:marTop w:val="0"/>
                          <w:marBottom w:val="0"/>
                          <w:divBdr>
                            <w:top w:val="none" w:sz="0" w:space="0" w:color="auto"/>
                            <w:left w:val="none" w:sz="0" w:space="0" w:color="auto"/>
                            <w:bottom w:val="none" w:sz="0" w:space="0" w:color="auto"/>
                            <w:right w:val="none" w:sz="0" w:space="0" w:color="auto"/>
                          </w:divBdr>
                          <w:divsChild>
                            <w:div w:id="199421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146304">
      <w:bodyDiv w:val="1"/>
      <w:marLeft w:val="0"/>
      <w:marRight w:val="0"/>
      <w:marTop w:val="0"/>
      <w:marBottom w:val="0"/>
      <w:divBdr>
        <w:top w:val="none" w:sz="0" w:space="0" w:color="auto"/>
        <w:left w:val="none" w:sz="0" w:space="0" w:color="auto"/>
        <w:bottom w:val="none" w:sz="0" w:space="0" w:color="auto"/>
        <w:right w:val="none" w:sz="0" w:space="0" w:color="auto"/>
      </w:divBdr>
      <w:divsChild>
        <w:div w:id="1654986934">
          <w:marLeft w:val="0"/>
          <w:marRight w:val="0"/>
          <w:marTop w:val="0"/>
          <w:marBottom w:val="0"/>
          <w:divBdr>
            <w:top w:val="none" w:sz="0" w:space="0" w:color="auto"/>
            <w:left w:val="none" w:sz="0" w:space="0" w:color="auto"/>
            <w:bottom w:val="none" w:sz="0" w:space="0" w:color="auto"/>
            <w:right w:val="none" w:sz="0" w:space="0" w:color="auto"/>
          </w:divBdr>
          <w:divsChild>
            <w:div w:id="1682275316">
              <w:marLeft w:val="0"/>
              <w:marRight w:val="0"/>
              <w:marTop w:val="0"/>
              <w:marBottom w:val="0"/>
              <w:divBdr>
                <w:top w:val="none" w:sz="0" w:space="0" w:color="auto"/>
                <w:left w:val="none" w:sz="0" w:space="0" w:color="auto"/>
                <w:bottom w:val="none" w:sz="0" w:space="0" w:color="auto"/>
                <w:right w:val="none" w:sz="0" w:space="0" w:color="auto"/>
              </w:divBdr>
              <w:divsChild>
                <w:div w:id="1482455194">
                  <w:marLeft w:val="0"/>
                  <w:marRight w:val="0"/>
                  <w:marTop w:val="0"/>
                  <w:marBottom w:val="0"/>
                  <w:divBdr>
                    <w:top w:val="none" w:sz="0" w:space="0" w:color="auto"/>
                    <w:left w:val="none" w:sz="0" w:space="0" w:color="auto"/>
                    <w:bottom w:val="none" w:sz="0" w:space="0" w:color="auto"/>
                    <w:right w:val="none" w:sz="0" w:space="0" w:color="auto"/>
                  </w:divBdr>
                  <w:divsChild>
                    <w:div w:id="100151502">
                      <w:marLeft w:val="0"/>
                      <w:marRight w:val="0"/>
                      <w:marTop w:val="0"/>
                      <w:marBottom w:val="0"/>
                      <w:divBdr>
                        <w:top w:val="none" w:sz="0" w:space="0" w:color="auto"/>
                        <w:left w:val="none" w:sz="0" w:space="0" w:color="auto"/>
                        <w:bottom w:val="none" w:sz="0" w:space="0" w:color="auto"/>
                        <w:right w:val="none" w:sz="0" w:space="0" w:color="auto"/>
                      </w:divBdr>
                      <w:divsChild>
                        <w:div w:id="801388545">
                          <w:marLeft w:val="0"/>
                          <w:marRight w:val="0"/>
                          <w:marTop w:val="0"/>
                          <w:marBottom w:val="0"/>
                          <w:divBdr>
                            <w:top w:val="none" w:sz="0" w:space="0" w:color="auto"/>
                            <w:left w:val="none" w:sz="0" w:space="0" w:color="auto"/>
                            <w:bottom w:val="none" w:sz="0" w:space="0" w:color="auto"/>
                            <w:right w:val="none" w:sz="0" w:space="0" w:color="auto"/>
                          </w:divBdr>
                          <w:divsChild>
                            <w:div w:id="167440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6858">
          <w:marLeft w:val="0"/>
          <w:marRight w:val="0"/>
          <w:marTop w:val="0"/>
          <w:marBottom w:val="0"/>
          <w:divBdr>
            <w:top w:val="none" w:sz="0" w:space="0" w:color="auto"/>
            <w:left w:val="none" w:sz="0" w:space="0" w:color="auto"/>
            <w:bottom w:val="none" w:sz="0" w:space="0" w:color="auto"/>
            <w:right w:val="none" w:sz="0" w:space="0" w:color="auto"/>
          </w:divBdr>
          <w:divsChild>
            <w:div w:id="1177428344">
              <w:marLeft w:val="0"/>
              <w:marRight w:val="0"/>
              <w:marTop w:val="0"/>
              <w:marBottom w:val="0"/>
              <w:divBdr>
                <w:top w:val="none" w:sz="0" w:space="0" w:color="auto"/>
                <w:left w:val="none" w:sz="0" w:space="0" w:color="auto"/>
                <w:bottom w:val="none" w:sz="0" w:space="0" w:color="auto"/>
                <w:right w:val="none" w:sz="0" w:space="0" w:color="auto"/>
              </w:divBdr>
              <w:divsChild>
                <w:div w:id="859393525">
                  <w:marLeft w:val="0"/>
                  <w:marRight w:val="0"/>
                  <w:marTop w:val="0"/>
                  <w:marBottom w:val="0"/>
                  <w:divBdr>
                    <w:top w:val="none" w:sz="0" w:space="0" w:color="auto"/>
                    <w:left w:val="none" w:sz="0" w:space="0" w:color="auto"/>
                    <w:bottom w:val="none" w:sz="0" w:space="0" w:color="auto"/>
                    <w:right w:val="none" w:sz="0" w:space="0" w:color="auto"/>
                  </w:divBdr>
                  <w:divsChild>
                    <w:div w:id="574318397">
                      <w:marLeft w:val="0"/>
                      <w:marRight w:val="0"/>
                      <w:marTop w:val="0"/>
                      <w:marBottom w:val="0"/>
                      <w:divBdr>
                        <w:top w:val="none" w:sz="0" w:space="0" w:color="auto"/>
                        <w:left w:val="none" w:sz="0" w:space="0" w:color="auto"/>
                        <w:bottom w:val="none" w:sz="0" w:space="0" w:color="auto"/>
                        <w:right w:val="none" w:sz="0" w:space="0" w:color="auto"/>
                      </w:divBdr>
                      <w:divsChild>
                        <w:div w:id="1709602398">
                          <w:marLeft w:val="0"/>
                          <w:marRight w:val="0"/>
                          <w:marTop w:val="0"/>
                          <w:marBottom w:val="0"/>
                          <w:divBdr>
                            <w:top w:val="none" w:sz="0" w:space="0" w:color="auto"/>
                            <w:left w:val="none" w:sz="0" w:space="0" w:color="auto"/>
                            <w:bottom w:val="none" w:sz="0" w:space="0" w:color="auto"/>
                            <w:right w:val="none" w:sz="0" w:space="0" w:color="auto"/>
                          </w:divBdr>
                          <w:divsChild>
                            <w:div w:id="596135670">
                              <w:marLeft w:val="0"/>
                              <w:marRight w:val="0"/>
                              <w:marTop w:val="0"/>
                              <w:marBottom w:val="0"/>
                              <w:divBdr>
                                <w:top w:val="none" w:sz="0" w:space="0" w:color="auto"/>
                                <w:left w:val="none" w:sz="0" w:space="0" w:color="auto"/>
                                <w:bottom w:val="none" w:sz="0" w:space="0" w:color="auto"/>
                                <w:right w:val="none" w:sz="0" w:space="0" w:color="auto"/>
                              </w:divBdr>
                              <w:divsChild>
                                <w:div w:id="2517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929594">
          <w:marLeft w:val="0"/>
          <w:marRight w:val="0"/>
          <w:marTop w:val="0"/>
          <w:marBottom w:val="0"/>
          <w:divBdr>
            <w:top w:val="none" w:sz="0" w:space="0" w:color="auto"/>
            <w:left w:val="none" w:sz="0" w:space="0" w:color="auto"/>
            <w:bottom w:val="none" w:sz="0" w:space="0" w:color="auto"/>
            <w:right w:val="none" w:sz="0" w:space="0" w:color="auto"/>
          </w:divBdr>
          <w:divsChild>
            <w:div w:id="1027289446">
              <w:marLeft w:val="0"/>
              <w:marRight w:val="0"/>
              <w:marTop w:val="0"/>
              <w:marBottom w:val="0"/>
              <w:divBdr>
                <w:top w:val="none" w:sz="0" w:space="0" w:color="auto"/>
                <w:left w:val="none" w:sz="0" w:space="0" w:color="auto"/>
                <w:bottom w:val="none" w:sz="0" w:space="0" w:color="auto"/>
                <w:right w:val="none" w:sz="0" w:space="0" w:color="auto"/>
              </w:divBdr>
              <w:divsChild>
                <w:div w:id="374473773">
                  <w:marLeft w:val="0"/>
                  <w:marRight w:val="0"/>
                  <w:marTop w:val="0"/>
                  <w:marBottom w:val="0"/>
                  <w:divBdr>
                    <w:top w:val="none" w:sz="0" w:space="0" w:color="auto"/>
                    <w:left w:val="none" w:sz="0" w:space="0" w:color="auto"/>
                    <w:bottom w:val="none" w:sz="0" w:space="0" w:color="auto"/>
                    <w:right w:val="none" w:sz="0" w:space="0" w:color="auto"/>
                  </w:divBdr>
                  <w:divsChild>
                    <w:div w:id="1625236126">
                      <w:marLeft w:val="0"/>
                      <w:marRight w:val="0"/>
                      <w:marTop w:val="0"/>
                      <w:marBottom w:val="0"/>
                      <w:divBdr>
                        <w:top w:val="none" w:sz="0" w:space="0" w:color="auto"/>
                        <w:left w:val="none" w:sz="0" w:space="0" w:color="auto"/>
                        <w:bottom w:val="none" w:sz="0" w:space="0" w:color="auto"/>
                        <w:right w:val="none" w:sz="0" w:space="0" w:color="auto"/>
                      </w:divBdr>
                      <w:divsChild>
                        <w:div w:id="406192691">
                          <w:marLeft w:val="0"/>
                          <w:marRight w:val="0"/>
                          <w:marTop w:val="0"/>
                          <w:marBottom w:val="0"/>
                          <w:divBdr>
                            <w:top w:val="none" w:sz="0" w:space="0" w:color="auto"/>
                            <w:left w:val="none" w:sz="0" w:space="0" w:color="auto"/>
                            <w:bottom w:val="none" w:sz="0" w:space="0" w:color="auto"/>
                            <w:right w:val="none" w:sz="0" w:space="0" w:color="auto"/>
                          </w:divBdr>
                          <w:divsChild>
                            <w:div w:id="2563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555878">
      <w:bodyDiv w:val="1"/>
      <w:marLeft w:val="0"/>
      <w:marRight w:val="0"/>
      <w:marTop w:val="0"/>
      <w:marBottom w:val="0"/>
      <w:divBdr>
        <w:top w:val="none" w:sz="0" w:space="0" w:color="auto"/>
        <w:left w:val="none" w:sz="0" w:space="0" w:color="auto"/>
        <w:bottom w:val="none" w:sz="0" w:space="0" w:color="auto"/>
        <w:right w:val="none" w:sz="0" w:space="0" w:color="auto"/>
      </w:divBdr>
      <w:divsChild>
        <w:div w:id="551387029">
          <w:marLeft w:val="0"/>
          <w:marRight w:val="0"/>
          <w:marTop w:val="0"/>
          <w:marBottom w:val="0"/>
          <w:divBdr>
            <w:top w:val="none" w:sz="0" w:space="0" w:color="auto"/>
            <w:left w:val="none" w:sz="0" w:space="0" w:color="auto"/>
            <w:bottom w:val="none" w:sz="0" w:space="0" w:color="auto"/>
            <w:right w:val="none" w:sz="0" w:space="0" w:color="auto"/>
          </w:divBdr>
          <w:divsChild>
            <w:div w:id="1892419645">
              <w:marLeft w:val="0"/>
              <w:marRight w:val="0"/>
              <w:marTop w:val="0"/>
              <w:marBottom w:val="0"/>
              <w:divBdr>
                <w:top w:val="none" w:sz="0" w:space="0" w:color="auto"/>
                <w:left w:val="none" w:sz="0" w:space="0" w:color="auto"/>
                <w:bottom w:val="none" w:sz="0" w:space="0" w:color="auto"/>
                <w:right w:val="none" w:sz="0" w:space="0" w:color="auto"/>
              </w:divBdr>
              <w:divsChild>
                <w:div w:id="1406797954">
                  <w:marLeft w:val="0"/>
                  <w:marRight w:val="0"/>
                  <w:marTop w:val="0"/>
                  <w:marBottom w:val="0"/>
                  <w:divBdr>
                    <w:top w:val="none" w:sz="0" w:space="0" w:color="auto"/>
                    <w:left w:val="none" w:sz="0" w:space="0" w:color="auto"/>
                    <w:bottom w:val="none" w:sz="0" w:space="0" w:color="auto"/>
                    <w:right w:val="none" w:sz="0" w:space="0" w:color="auto"/>
                  </w:divBdr>
                  <w:divsChild>
                    <w:div w:id="2062290674">
                      <w:marLeft w:val="0"/>
                      <w:marRight w:val="0"/>
                      <w:marTop w:val="0"/>
                      <w:marBottom w:val="0"/>
                      <w:divBdr>
                        <w:top w:val="none" w:sz="0" w:space="0" w:color="auto"/>
                        <w:left w:val="none" w:sz="0" w:space="0" w:color="auto"/>
                        <w:bottom w:val="none" w:sz="0" w:space="0" w:color="auto"/>
                        <w:right w:val="none" w:sz="0" w:space="0" w:color="auto"/>
                      </w:divBdr>
                      <w:divsChild>
                        <w:div w:id="1441955689">
                          <w:marLeft w:val="0"/>
                          <w:marRight w:val="0"/>
                          <w:marTop w:val="0"/>
                          <w:marBottom w:val="0"/>
                          <w:divBdr>
                            <w:top w:val="none" w:sz="0" w:space="0" w:color="auto"/>
                            <w:left w:val="none" w:sz="0" w:space="0" w:color="auto"/>
                            <w:bottom w:val="none" w:sz="0" w:space="0" w:color="auto"/>
                            <w:right w:val="none" w:sz="0" w:space="0" w:color="auto"/>
                          </w:divBdr>
                          <w:divsChild>
                            <w:div w:id="199174119">
                              <w:marLeft w:val="0"/>
                              <w:marRight w:val="0"/>
                              <w:marTop w:val="0"/>
                              <w:marBottom w:val="0"/>
                              <w:divBdr>
                                <w:top w:val="none" w:sz="0" w:space="0" w:color="auto"/>
                                <w:left w:val="none" w:sz="0" w:space="0" w:color="auto"/>
                                <w:bottom w:val="none" w:sz="0" w:space="0" w:color="auto"/>
                                <w:right w:val="none" w:sz="0" w:space="0" w:color="auto"/>
                              </w:divBdr>
                              <w:divsChild>
                                <w:div w:id="603461213">
                                  <w:marLeft w:val="0"/>
                                  <w:marRight w:val="0"/>
                                  <w:marTop w:val="0"/>
                                  <w:marBottom w:val="0"/>
                                  <w:divBdr>
                                    <w:top w:val="none" w:sz="0" w:space="0" w:color="auto"/>
                                    <w:left w:val="none" w:sz="0" w:space="0" w:color="auto"/>
                                    <w:bottom w:val="none" w:sz="0" w:space="0" w:color="auto"/>
                                    <w:right w:val="none" w:sz="0" w:space="0" w:color="auto"/>
                                  </w:divBdr>
                                  <w:divsChild>
                                    <w:div w:id="13187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27948">
          <w:marLeft w:val="0"/>
          <w:marRight w:val="0"/>
          <w:marTop w:val="0"/>
          <w:marBottom w:val="0"/>
          <w:divBdr>
            <w:top w:val="none" w:sz="0" w:space="0" w:color="auto"/>
            <w:left w:val="none" w:sz="0" w:space="0" w:color="auto"/>
            <w:bottom w:val="none" w:sz="0" w:space="0" w:color="auto"/>
            <w:right w:val="none" w:sz="0" w:space="0" w:color="auto"/>
          </w:divBdr>
          <w:divsChild>
            <w:div w:id="352659359">
              <w:marLeft w:val="0"/>
              <w:marRight w:val="0"/>
              <w:marTop w:val="0"/>
              <w:marBottom w:val="0"/>
              <w:divBdr>
                <w:top w:val="none" w:sz="0" w:space="0" w:color="auto"/>
                <w:left w:val="none" w:sz="0" w:space="0" w:color="auto"/>
                <w:bottom w:val="none" w:sz="0" w:space="0" w:color="auto"/>
                <w:right w:val="none" w:sz="0" w:space="0" w:color="auto"/>
              </w:divBdr>
              <w:divsChild>
                <w:div w:id="850216812">
                  <w:marLeft w:val="0"/>
                  <w:marRight w:val="0"/>
                  <w:marTop w:val="0"/>
                  <w:marBottom w:val="0"/>
                  <w:divBdr>
                    <w:top w:val="none" w:sz="0" w:space="0" w:color="auto"/>
                    <w:left w:val="none" w:sz="0" w:space="0" w:color="auto"/>
                    <w:bottom w:val="none" w:sz="0" w:space="0" w:color="auto"/>
                    <w:right w:val="none" w:sz="0" w:space="0" w:color="auto"/>
                  </w:divBdr>
                  <w:divsChild>
                    <w:div w:id="199172650">
                      <w:marLeft w:val="0"/>
                      <w:marRight w:val="0"/>
                      <w:marTop w:val="0"/>
                      <w:marBottom w:val="0"/>
                      <w:divBdr>
                        <w:top w:val="none" w:sz="0" w:space="0" w:color="auto"/>
                        <w:left w:val="none" w:sz="0" w:space="0" w:color="auto"/>
                        <w:bottom w:val="none" w:sz="0" w:space="0" w:color="auto"/>
                        <w:right w:val="none" w:sz="0" w:space="0" w:color="auto"/>
                      </w:divBdr>
                      <w:divsChild>
                        <w:div w:id="599413753">
                          <w:marLeft w:val="0"/>
                          <w:marRight w:val="0"/>
                          <w:marTop w:val="0"/>
                          <w:marBottom w:val="0"/>
                          <w:divBdr>
                            <w:top w:val="none" w:sz="0" w:space="0" w:color="auto"/>
                            <w:left w:val="none" w:sz="0" w:space="0" w:color="auto"/>
                            <w:bottom w:val="none" w:sz="0" w:space="0" w:color="auto"/>
                            <w:right w:val="none" w:sz="0" w:space="0" w:color="auto"/>
                          </w:divBdr>
                          <w:divsChild>
                            <w:div w:id="711348317">
                              <w:marLeft w:val="0"/>
                              <w:marRight w:val="0"/>
                              <w:marTop w:val="0"/>
                              <w:marBottom w:val="0"/>
                              <w:divBdr>
                                <w:top w:val="none" w:sz="0" w:space="0" w:color="auto"/>
                                <w:left w:val="none" w:sz="0" w:space="0" w:color="auto"/>
                                <w:bottom w:val="none" w:sz="0" w:space="0" w:color="auto"/>
                                <w:right w:val="none" w:sz="0" w:space="0" w:color="auto"/>
                              </w:divBdr>
                              <w:divsChild>
                                <w:div w:id="39158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543485">
          <w:marLeft w:val="0"/>
          <w:marRight w:val="0"/>
          <w:marTop w:val="0"/>
          <w:marBottom w:val="0"/>
          <w:divBdr>
            <w:top w:val="none" w:sz="0" w:space="0" w:color="auto"/>
            <w:left w:val="none" w:sz="0" w:space="0" w:color="auto"/>
            <w:bottom w:val="none" w:sz="0" w:space="0" w:color="auto"/>
            <w:right w:val="none" w:sz="0" w:space="0" w:color="auto"/>
          </w:divBdr>
          <w:divsChild>
            <w:div w:id="38940161">
              <w:marLeft w:val="0"/>
              <w:marRight w:val="0"/>
              <w:marTop w:val="0"/>
              <w:marBottom w:val="0"/>
              <w:divBdr>
                <w:top w:val="none" w:sz="0" w:space="0" w:color="auto"/>
                <w:left w:val="none" w:sz="0" w:space="0" w:color="auto"/>
                <w:bottom w:val="none" w:sz="0" w:space="0" w:color="auto"/>
                <w:right w:val="none" w:sz="0" w:space="0" w:color="auto"/>
              </w:divBdr>
              <w:divsChild>
                <w:div w:id="1571577692">
                  <w:marLeft w:val="0"/>
                  <w:marRight w:val="0"/>
                  <w:marTop w:val="0"/>
                  <w:marBottom w:val="0"/>
                  <w:divBdr>
                    <w:top w:val="none" w:sz="0" w:space="0" w:color="auto"/>
                    <w:left w:val="none" w:sz="0" w:space="0" w:color="auto"/>
                    <w:bottom w:val="none" w:sz="0" w:space="0" w:color="auto"/>
                    <w:right w:val="none" w:sz="0" w:space="0" w:color="auto"/>
                  </w:divBdr>
                  <w:divsChild>
                    <w:div w:id="533351108">
                      <w:marLeft w:val="0"/>
                      <w:marRight w:val="0"/>
                      <w:marTop w:val="0"/>
                      <w:marBottom w:val="0"/>
                      <w:divBdr>
                        <w:top w:val="none" w:sz="0" w:space="0" w:color="auto"/>
                        <w:left w:val="none" w:sz="0" w:space="0" w:color="auto"/>
                        <w:bottom w:val="none" w:sz="0" w:space="0" w:color="auto"/>
                        <w:right w:val="none" w:sz="0" w:space="0" w:color="auto"/>
                      </w:divBdr>
                      <w:divsChild>
                        <w:div w:id="718093354">
                          <w:marLeft w:val="0"/>
                          <w:marRight w:val="0"/>
                          <w:marTop w:val="0"/>
                          <w:marBottom w:val="0"/>
                          <w:divBdr>
                            <w:top w:val="none" w:sz="0" w:space="0" w:color="auto"/>
                            <w:left w:val="none" w:sz="0" w:space="0" w:color="auto"/>
                            <w:bottom w:val="none" w:sz="0" w:space="0" w:color="auto"/>
                            <w:right w:val="none" w:sz="0" w:space="0" w:color="auto"/>
                          </w:divBdr>
                          <w:divsChild>
                            <w:div w:id="5318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165978">
      <w:bodyDiv w:val="1"/>
      <w:marLeft w:val="0"/>
      <w:marRight w:val="0"/>
      <w:marTop w:val="0"/>
      <w:marBottom w:val="0"/>
      <w:divBdr>
        <w:top w:val="none" w:sz="0" w:space="0" w:color="auto"/>
        <w:left w:val="none" w:sz="0" w:space="0" w:color="auto"/>
        <w:bottom w:val="none" w:sz="0" w:space="0" w:color="auto"/>
        <w:right w:val="none" w:sz="0" w:space="0" w:color="auto"/>
      </w:divBdr>
      <w:divsChild>
        <w:div w:id="935671140">
          <w:marLeft w:val="0"/>
          <w:marRight w:val="0"/>
          <w:marTop w:val="0"/>
          <w:marBottom w:val="0"/>
          <w:divBdr>
            <w:top w:val="none" w:sz="0" w:space="0" w:color="auto"/>
            <w:left w:val="none" w:sz="0" w:space="0" w:color="auto"/>
            <w:bottom w:val="none" w:sz="0" w:space="0" w:color="auto"/>
            <w:right w:val="none" w:sz="0" w:space="0" w:color="auto"/>
          </w:divBdr>
          <w:divsChild>
            <w:div w:id="2039744350">
              <w:marLeft w:val="0"/>
              <w:marRight w:val="0"/>
              <w:marTop w:val="0"/>
              <w:marBottom w:val="0"/>
              <w:divBdr>
                <w:top w:val="none" w:sz="0" w:space="0" w:color="auto"/>
                <w:left w:val="none" w:sz="0" w:space="0" w:color="auto"/>
                <w:bottom w:val="none" w:sz="0" w:space="0" w:color="auto"/>
                <w:right w:val="none" w:sz="0" w:space="0" w:color="auto"/>
              </w:divBdr>
              <w:divsChild>
                <w:div w:id="267203524">
                  <w:marLeft w:val="0"/>
                  <w:marRight w:val="0"/>
                  <w:marTop w:val="0"/>
                  <w:marBottom w:val="0"/>
                  <w:divBdr>
                    <w:top w:val="none" w:sz="0" w:space="0" w:color="auto"/>
                    <w:left w:val="none" w:sz="0" w:space="0" w:color="auto"/>
                    <w:bottom w:val="none" w:sz="0" w:space="0" w:color="auto"/>
                    <w:right w:val="none" w:sz="0" w:space="0" w:color="auto"/>
                  </w:divBdr>
                  <w:divsChild>
                    <w:div w:id="1051614458">
                      <w:marLeft w:val="0"/>
                      <w:marRight w:val="0"/>
                      <w:marTop w:val="0"/>
                      <w:marBottom w:val="0"/>
                      <w:divBdr>
                        <w:top w:val="none" w:sz="0" w:space="0" w:color="auto"/>
                        <w:left w:val="none" w:sz="0" w:space="0" w:color="auto"/>
                        <w:bottom w:val="none" w:sz="0" w:space="0" w:color="auto"/>
                        <w:right w:val="none" w:sz="0" w:space="0" w:color="auto"/>
                      </w:divBdr>
                      <w:divsChild>
                        <w:div w:id="1184974020">
                          <w:marLeft w:val="0"/>
                          <w:marRight w:val="0"/>
                          <w:marTop w:val="0"/>
                          <w:marBottom w:val="0"/>
                          <w:divBdr>
                            <w:top w:val="none" w:sz="0" w:space="0" w:color="auto"/>
                            <w:left w:val="none" w:sz="0" w:space="0" w:color="auto"/>
                            <w:bottom w:val="none" w:sz="0" w:space="0" w:color="auto"/>
                            <w:right w:val="none" w:sz="0" w:space="0" w:color="auto"/>
                          </w:divBdr>
                          <w:divsChild>
                            <w:div w:id="405034749">
                              <w:marLeft w:val="0"/>
                              <w:marRight w:val="0"/>
                              <w:marTop w:val="0"/>
                              <w:marBottom w:val="0"/>
                              <w:divBdr>
                                <w:top w:val="none" w:sz="0" w:space="0" w:color="auto"/>
                                <w:left w:val="none" w:sz="0" w:space="0" w:color="auto"/>
                                <w:bottom w:val="none" w:sz="0" w:space="0" w:color="auto"/>
                                <w:right w:val="none" w:sz="0" w:space="0" w:color="auto"/>
                              </w:divBdr>
                              <w:divsChild>
                                <w:div w:id="717436976">
                                  <w:marLeft w:val="0"/>
                                  <w:marRight w:val="0"/>
                                  <w:marTop w:val="0"/>
                                  <w:marBottom w:val="0"/>
                                  <w:divBdr>
                                    <w:top w:val="none" w:sz="0" w:space="0" w:color="auto"/>
                                    <w:left w:val="none" w:sz="0" w:space="0" w:color="auto"/>
                                    <w:bottom w:val="none" w:sz="0" w:space="0" w:color="auto"/>
                                    <w:right w:val="none" w:sz="0" w:space="0" w:color="auto"/>
                                  </w:divBdr>
                                  <w:divsChild>
                                    <w:div w:id="165984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28178">
          <w:marLeft w:val="0"/>
          <w:marRight w:val="0"/>
          <w:marTop w:val="0"/>
          <w:marBottom w:val="0"/>
          <w:divBdr>
            <w:top w:val="none" w:sz="0" w:space="0" w:color="auto"/>
            <w:left w:val="none" w:sz="0" w:space="0" w:color="auto"/>
            <w:bottom w:val="none" w:sz="0" w:space="0" w:color="auto"/>
            <w:right w:val="none" w:sz="0" w:space="0" w:color="auto"/>
          </w:divBdr>
          <w:divsChild>
            <w:div w:id="804741537">
              <w:marLeft w:val="0"/>
              <w:marRight w:val="0"/>
              <w:marTop w:val="0"/>
              <w:marBottom w:val="0"/>
              <w:divBdr>
                <w:top w:val="none" w:sz="0" w:space="0" w:color="auto"/>
                <w:left w:val="none" w:sz="0" w:space="0" w:color="auto"/>
                <w:bottom w:val="none" w:sz="0" w:space="0" w:color="auto"/>
                <w:right w:val="none" w:sz="0" w:space="0" w:color="auto"/>
              </w:divBdr>
              <w:divsChild>
                <w:div w:id="1367022368">
                  <w:marLeft w:val="0"/>
                  <w:marRight w:val="0"/>
                  <w:marTop w:val="0"/>
                  <w:marBottom w:val="0"/>
                  <w:divBdr>
                    <w:top w:val="none" w:sz="0" w:space="0" w:color="auto"/>
                    <w:left w:val="none" w:sz="0" w:space="0" w:color="auto"/>
                    <w:bottom w:val="none" w:sz="0" w:space="0" w:color="auto"/>
                    <w:right w:val="none" w:sz="0" w:space="0" w:color="auto"/>
                  </w:divBdr>
                  <w:divsChild>
                    <w:div w:id="193688376">
                      <w:marLeft w:val="0"/>
                      <w:marRight w:val="0"/>
                      <w:marTop w:val="0"/>
                      <w:marBottom w:val="0"/>
                      <w:divBdr>
                        <w:top w:val="none" w:sz="0" w:space="0" w:color="auto"/>
                        <w:left w:val="none" w:sz="0" w:space="0" w:color="auto"/>
                        <w:bottom w:val="none" w:sz="0" w:space="0" w:color="auto"/>
                        <w:right w:val="none" w:sz="0" w:space="0" w:color="auto"/>
                      </w:divBdr>
                      <w:divsChild>
                        <w:div w:id="342367604">
                          <w:marLeft w:val="0"/>
                          <w:marRight w:val="0"/>
                          <w:marTop w:val="0"/>
                          <w:marBottom w:val="0"/>
                          <w:divBdr>
                            <w:top w:val="none" w:sz="0" w:space="0" w:color="auto"/>
                            <w:left w:val="none" w:sz="0" w:space="0" w:color="auto"/>
                            <w:bottom w:val="none" w:sz="0" w:space="0" w:color="auto"/>
                            <w:right w:val="none" w:sz="0" w:space="0" w:color="auto"/>
                          </w:divBdr>
                          <w:divsChild>
                            <w:div w:id="204292191">
                              <w:marLeft w:val="0"/>
                              <w:marRight w:val="0"/>
                              <w:marTop w:val="0"/>
                              <w:marBottom w:val="0"/>
                              <w:divBdr>
                                <w:top w:val="none" w:sz="0" w:space="0" w:color="auto"/>
                                <w:left w:val="none" w:sz="0" w:space="0" w:color="auto"/>
                                <w:bottom w:val="none" w:sz="0" w:space="0" w:color="auto"/>
                                <w:right w:val="none" w:sz="0" w:space="0" w:color="auto"/>
                              </w:divBdr>
                              <w:divsChild>
                                <w:div w:id="163197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032264">
          <w:marLeft w:val="0"/>
          <w:marRight w:val="0"/>
          <w:marTop w:val="0"/>
          <w:marBottom w:val="0"/>
          <w:divBdr>
            <w:top w:val="none" w:sz="0" w:space="0" w:color="auto"/>
            <w:left w:val="none" w:sz="0" w:space="0" w:color="auto"/>
            <w:bottom w:val="none" w:sz="0" w:space="0" w:color="auto"/>
            <w:right w:val="none" w:sz="0" w:space="0" w:color="auto"/>
          </w:divBdr>
          <w:divsChild>
            <w:div w:id="1282371924">
              <w:marLeft w:val="0"/>
              <w:marRight w:val="0"/>
              <w:marTop w:val="0"/>
              <w:marBottom w:val="0"/>
              <w:divBdr>
                <w:top w:val="none" w:sz="0" w:space="0" w:color="auto"/>
                <w:left w:val="none" w:sz="0" w:space="0" w:color="auto"/>
                <w:bottom w:val="none" w:sz="0" w:space="0" w:color="auto"/>
                <w:right w:val="none" w:sz="0" w:space="0" w:color="auto"/>
              </w:divBdr>
              <w:divsChild>
                <w:div w:id="1051807094">
                  <w:marLeft w:val="0"/>
                  <w:marRight w:val="0"/>
                  <w:marTop w:val="0"/>
                  <w:marBottom w:val="0"/>
                  <w:divBdr>
                    <w:top w:val="none" w:sz="0" w:space="0" w:color="auto"/>
                    <w:left w:val="none" w:sz="0" w:space="0" w:color="auto"/>
                    <w:bottom w:val="none" w:sz="0" w:space="0" w:color="auto"/>
                    <w:right w:val="none" w:sz="0" w:space="0" w:color="auto"/>
                  </w:divBdr>
                  <w:divsChild>
                    <w:div w:id="311256429">
                      <w:marLeft w:val="0"/>
                      <w:marRight w:val="0"/>
                      <w:marTop w:val="0"/>
                      <w:marBottom w:val="0"/>
                      <w:divBdr>
                        <w:top w:val="none" w:sz="0" w:space="0" w:color="auto"/>
                        <w:left w:val="none" w:sz="0" w:space="0" w:color="auto"/>
                        <w:bottom w:val="none" w:sz="0" w:space="0" w:color="auto"/>
                        <w:right w:val="none" w:sz="0" w:space="0" w:color="auto"/>
                      </w:divBdr>
                      <w:divsChild>
                        <w:div w:id="1495100984">
                          <w:marLeft w:val="0"/>
                          <w:marRight w:val="0"/>
                          <w:marTop w:val="0"/>
                          <w:marBottom w:val="0"/>
                          <w:divBdr>
                            <w:top w:val="none" w:sz="0" w:space="0" w:color="auto"/>
                            <w:left w:val="none" w:sz="0" w:space="0" w:color="auto"/>
                            <w:bottom w:val="none" w:sz="0" w:space="0" w:color="auto"/>
                            <w:right w:val="none" w:sz="0" w:space="0" w:color="auto"/>
                          </w:divBdr>
                          <w:divsChild>
                            <w:div w:id="97256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a.nl/nl/kleinschalige-opvang?utm_source=chatgpt.com" TargetMode="External"/><Relationship Id="rId13" Type="http://schemas.openxmlformats.org/officeDocument/2006/relationships/hyperlink" Target="https://www.coa.nl/nl/kleinschalige-opvang?utm_source=chatgpt.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a.nl/nl/lijst/het-waar-dat-er-alleen-grote-azcs-worden-geopend?utm_source=chatgpt.com" TargetMode="External"/><Relationship Id="rId12" Type="http://schemas.openxmlformats.org/officeDocument/2006/relationships/hyperlink" Target="https://www.coa.nl/nl/kleinschalige-opvang?utm_source=chatgpt.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a.nl/nl/lijst/het-waar-dat-er-alleen-grote-azcs-worden-geopend?utm_source=chatgpt.com" TargetMode="External"/><Relationship Id="rId1" Type="http://schemas.openxmlformats.org/officeDocument/2006/relationships/numbering" Target="numbering.xml"/><Relationship Id="rId6" Type="http://schemas.openxmlformats.org/officeDocument/2006/relationships/hyperlink" Target="https://www.coa.nl/nl/lijst/het-waar-dat-er-alleen-grote-azcs-worden-geopend?utm_source=chatgpt.com" TargetMode="External"/><Relationship Id="rId11" Type="http://schemas.openxmlformats.org/officeDocument/2006/relationships/hyperlink" Target="https://www.coa.nl/nl/lijst/het-waar-dat-er-alleen-grote-azcs-worden-geopend?utm_source=chatgpt.com" TargetMode="External"/><Relationship Id="rId5" Type="http://schemas.openxmlformats.org/officeDocument/2006/relationships/hyperlink" Target="https://www.coa.nl/nl/lijst/het-waar-dat-er-alleen-grote-azcs-worden-geopend?utm_source=chatgpt.com" TargetMode="External"/><Relationship Id="rId15" Type="http://schemas.openxmlformats.org/officeDocument/2006/relationships/hyperlink" Target="https://vng.nl/nieuws/coa-en-rode-kruis-werken-aan-meer-kleinschalige-opvang?utm_source=chatgpt.com" TargetMode="External"/><Relationship Id="rId10" Type="http://schemas.openxmlformats.org/officeDocument/2006/relationships/hyperlink" Target="https://www.coa.nl/nl/lijst/het-waar-dat-er-alleen-grote-azcs-worden-geopend?utm_source=chatgpt.com" TargetMode="External"/><Relationship Id="rId4" Type="http://schemas.openxmlformats.org/officeDocument/2006/relationships/webSettings" Target="webSettings.xml"/><Relationship Id="rId9" Type="http://schemas.openxmlformats.org/officeDocument/2006/relationships/hyperlink" Target="https://www.coa.nl/nl/lijst/het-waar-dat-er-alleen-grote-azcs-worden-geopend?utm_source=chatgpt.com" TargetMode="External"/><Relationship Id="rId14" Type="http://schemas.openxmlformats.org/officeDocument/2006/relationships/hyperlink" Target="https://vng.nl/nieuws/coa-en-rode-kruis-werken-aan-meer-kleinschalige-opvang?utm_source=chatgp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1081</Words>
  <Characters>5950</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24</cp:revision>
  <dcterms:created xsi:type="dcterms:W3CDTF">2025-09-10T07:03:00Z</dcterms:created>
  <dcterms:modified xsi:type="dcterms:W3CDTF">2025-09-10T07:37:00Z</dcterms:modified>
</cp:coreProperties>
</file>