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Chronologisch dossier – Zon op land Tynaarlo</w:t>
      </w:r>
    </w:p>
    <w:p>
      <w:pPr>
        <w:jc w:val="center"/>
      </w:pPr>
      <w:r>
        <w:t>Stand: 15 October 2025</w:t>
      </w:r>
    </w:p>
    <w:p/>
    <w:p>
      <w:pPr>
        <w:pStyle w:val="Heading2"/>
      </w:pPr>
      <w:r>
        <w:t>Doel</w:t>
      </w:r>
    </w:p>
    <w:p>
      <w:r>
        <w:t>Dit dossier bundelt in chronologische volgorde de beschikbare informatie uit jouw berichten over de participatie-avonden en de inhoudelijke aandachtspunten bij het Beleidskader voor zon op land projecten in de gemeente Tynaarlo. Het is bedoeld als basis voor een zienswijze, raadsvragen of vervolggesprekken.</w:t>
      </w:r>
    </w:p>
    <w:p>
      <w:pPr>
        <w:pStyle w:val="Heading2"/>
      </w:pPr>
      <w:r>
        <w:t>1) Tijdlijn en gebeurtenissen</w:t>
      </w:r>
    </w:p>
    <w:p>
      <w:pPr>
        <w:pStyle w:val="Heading3"/>
      </w:pPr>
      <w:r>
        <w:t>[Datum n.n.b.] – Inbrengavond 1 (klein zonnepark, ±2 ha)</w:t>
      </w:r>
    </w:p>
    <w:p>
      <w:r>
        <w:rPr>
          <w:b w:val="0"/>
        </w:rPr>
        <w:t>• Bijeenkomst over een kleinschalig zonnepark (ca. 2 ha).</w:t>
      </w:r>
    </w:p>
    <w:p>
      <w:r>
        <w:t>• Verloop: goed; alle aanwezigen konden opmerkingen op papier meegeven voor verwerking.</w:t>
      </w:r>
    </w:p>
    <w:p>
      <w:pPr>
        <w:pStyle w:val="Heading3"/>
      </w:pPr>
      <w:r>
        <w:t>11 september 2025 – Inbrengavond 2 (groot zonnepark) en terugkoppeling per e-mail</w:t>
      </w:r>
    </w:p>
    <w:p>
      <w:r>
        <w:t>• Schriftelijke terugkoppeling verzonden aan: H. van Os, G. Pieters, J. Smits, R. Aeilkema en A. Koffeman.</w:t>
      </w:r>
    </w:p>
    <w:p>
      <w:r>
        <w:t xml:space="preserve">  Tijdstip verzending: 21:33 uur. Onderwerp: “Bijeenkomst, Beleidskader voor zon op land projecten”.</w:t>
      </w:r>
    </w:p>
    <w:p>
      <w:r>
        <w:t>• Opkomst: ~30 aanwezigen, merendeels omwonenden van het beoogde gebied.</w:t>
      </w:r>
    </w:p>
    <w:p>
      <w:r>
        <w:t>• Verloop: chaotisch; veel aanwezigen gaven aan dat participatie onvoldoende was en dat ingezonden reacties niet (zichtbaar) waren verwerkt; ambtelijke zijde stelde van wel.</w:t>
      </w:r>
    </w:p>
    <w:p>
      <w:r>
        <w:t>• Uitkomst: aanzienlijk deel van de aanwezigen vertrok uit protest, zonder formulieren in te vullen. Een kleinere groep bleef discussiëren, maar leverde geen nieuwe briefjes in.</w:t>
      </w:r>
    </w:p>
    <w:p>
      <w:r>
        <w:t>• Observatie: duidelijke kloof in beleving van het participatieproces tussen inwoners en ambtelijke organisatie.</w:t>
      </w:r>
    </w:p>
    <w:p>
      <w:pPr>
        <w:pStyle w:val="Heading2"/>
      </w:pPr>
      <w:r>
        <w:t>2) Inhoudelijke bevindingen uit documentanalyse (met paginanummering)</w:t>
      </w:r>
    </w:p>
    <w:p>
      <w:pPr>
        <w:pStyle w:val="Heading3"/>
      </w:pPr>
      <w:r>
        <w:t>Pagina 1 – Status van het document (advieskarakter)</w:t>
      </w:r>
    </w:p>
    <w:p>
      <w:r>
        <w:t>• Het document is een advies voor het beleidskader, geen bindende richtlijn.</w:t>
      </w:r>
    </w:p>
    <w:p>
      <w:r>
        <w:t>• Conclusie: indien het advies niet past, kan (gemotiveerd) worden afgeweken.</w:t>
      </w:r>
    </w:p>
    <w:p>
      <w:pPr>
        <w:pStyle w:val="Heading3"/>
      </w:pPr>
      <w:r>
        <w:t>Pagina 6 – Drie pijlers voor grote en kleine zonneparken</w:t>
      </w:r>
    </w:p>
    <w:p>
      <w:r>
        <w:t>1. Mensenwerk – bewonersparticipatie</w:t>
      </w:r>
    </w:p>
    <w:p>
      <w:r>
        <w:t>2. Maatwerk – landschap is leidend</w:t>
      </w:r>
    </w:p>
    <w:p>
      <w:r>
        <w:t>3. Natuurlijk – meerwaarde voor de natuur</w:t>
      </w:r>
    </w:p>
    <w:p>
      <w:r>
        <w:t>• Kanttekening: pijlers 2 en 3 drukken sterk op het financiële rendement.</w:t>
      </w:r>
    </w:p>
    <w:p>
      <w:r>
        <w:t>• In het document ‘Sociaal Zonnepark Gemeente Tynaarlo’ is 1,6 MWp/ha als noodzakelijke opbrengstdichtheid verondersteld; dit is erg hoog en kan ten koste gaan van landschap en natuur.</w:t>
      </w:r>
    </w:p>
    <w:p>
      <w:r>
        <w:t>• Verzoek: onderbouw het uitgangspunt, werk bandbreedtes en varianten uit (lagere vermogensdichtheid/andere opstellingen) zónder kwaliteitsverlies in landschap en ecologie.</w:t>
      </w:r>
    </w:p>
    <w:p>
      <w:pPr>
        <w:pStyle w:val="Heading3"/>
      </w:pPr>
      <w:r>
        <w:t>Pagina 18 – Netcongestie</w:t>
      </w:r>
    </w:p>
    <w:p>
      <w:r>
        <w:t>• Behoefte aan duidelijke planning m.b.t. aansluitmoment.</w:t>
      </w:r>
    </w:p>
    <w:p>
      <w:r>
        <w:t>• Als aansluiting nog jaren duurt, heeft vroegtijdige inzet weinig nut.</w:t>
      </w:r>
    </w:p>
    <w:p>
      <w:r>
        <w:t>• Voorstel: hanteer een go/no‑go ongeveer 3 jaar vóór verwachte netaansluiting; start pas wanneer realisatie en transportcapaciteit reëel zijn.</w:t>
      </w:r>
    </w:p>
    <w:p>
      <w:pPr>
        <w:pStyle w:val="Heading3"/>
      </w:pPr>
      <w:r>
        <w:t>Pagina 31 – Minimaal 50% dorps‑eigendom</w:t>
      </w:r>
    </w:p>
    <w:p>
      <w:r>
        <w:t>• Ambitie is mooi, maar ontbreekt businesscase en draagvlaktoets.</w:t>
      </w:r>
    </w:p>
    <w:p>
      <w:r>
        <w:t>• Verzoek: werk financieel model uit (inleg, risico, rendement) en peil concreet bereidheid en inleg van inwoners; zo niet haalbaar, bijstellen of stoppen.</w:t>
      </w:r>
    </w:p>
    <w:p>
      <w:pPr>
        <w:pStyle w:val="Heading3"/>
      </w:pPr>
      <w:r>
        <w:t>Pagina 33 – Bestemming van winst</w:t>
      </w:r>
    </w:p>
    <w:p>
      <w:r>
        <w:t>• Goede gedachte, maar reëel risico op verlies bij zonneparken.</w:t>
      </w:r>
    </w:p>
    <w:p>
      <w:r>
        <w:t>• Verzoek: werk scenario’s uit (winst/break‑even/verlies) en leg vast wie bijtekent bij tegenvallers; borg risicodeling en financiële continuïteit.</w:t>
      </w:r>
    </w:p>
    <w:p>
      <w:pPr>
        <w:pStyle w:val="Heading3"/>
      </w:pPr>
      <w:r>
        <w:t>Pagina 40 (onderaan) – Koppelkansen: wandelroute/brug</w:t>
      </w:r>
    </w:p>
    <w:p>
      <w:r>
        <w:t>• Nieuwe wandelroute en eventuele (nieuwe) brug lijken onrealistisch qua kosten en bevoegdheden; bovendien vormt de A28 een harde barrière.</w:t>
      </w:r>
    </w:p>
    <w:p>
      <w:r>
        <w:t>• Verzoek: eerst haalbaarheid (incl. provincie/Rijkswaterstaat) toetsen vóór opname als koppelkans.</w:t>
      </w:r>
    </w:p>
    <w:p>
      <w:pPr>
        <w:pStyle w:val="Heading3"/>
      </w:pPr>
      <w:r>
        <w:t>Pagina 41 – Zuidelijk deel brongebied (kaart)</w:t>
      </w:r>
    </w:p>
    <w:p>
      <w:r>
        <w:t>• Noordzijde van het blauwe vlak lijkt een akker door te lopen; feitelijke scheiding ligt bij de afwateringssloot.</w:t>
      </w:r>
    </w:p>
    <w:p>
      <w:r>
        <w:t>• Verzoek: corrigeer kaartbegrenzing o.b.v. actuele kadastrale/landschappelijke situatie.</w:t>
      </w:r>
    </w:p>
    <w:p>
      <w:pPr>
        <w:pStyle w:val="Heading3"/>
      </w:pPr>
      <w:r>
        <w:t>Pagina 47 – Financieel &amp; lokaal eigendom (50%)</w:t>
      </w:r>
    </w:p>
    <w:p>
      <w:r>
        <w:t>• Onbekend of voldoende inwoners willen deelnemen en met welk bedrag.</w:t>
      </w:r>
    </w:p>
    <w:p>
      <w:r>
        <w:t>• Reële kans dat 50% lokaal eigendom niet wordt gehaald.</w:t>
      </w:r>
    </w:p>
    <w:p>
      <w:r>
        <w:t>• Verzoek: werk een fallback‑route uit (wie vult het gat, onder welke voorwaarden) en voorkom dat risico’s bij inwoners landen.</w:t>
      </w:r>
    </w:p>
    <w:p>
      <w:pPr>
        <w:pStyle w:val="Heading3"/>
      </w:pPr>
      <w:r>
        <w:t>Pagina 49 – Investeringen gemeente‑breed</w:t>
      </w:r>
    </w:p>
    <w:p>
      <w:r>
        <w:t>• Wens: opbrengsten inzetten voor sociale/armoededoelen.</w:t>
      </w:r>
    </w:p>
    <w:p>
      <w:r>
        <w:t>• Bij uitgifte van aandelen: hoe wordt winstbestemming geregeld en hoe borg je zekerheid voor aandeelhouders?</w:t>
      </w:r>
    </w:p>
    <w:p>
      <w:r>
        <w:t>• Verzoek: ontwikkel een kosten‑batenmodel met meerdere scenario’s (governance, winstbestemming, dividendbeleid, risicodeling).</w:t>
      </w:r>
    </w:p>
    <w:p>
      <w:r>
        <w:t>• Doel: vooraf kunnen beoordelen of de huidige inzet zinvol en haalbaar is.</w:t>
      </w:r>
    </w:p>
    <w:p>
      <w:pPr>
        <w:pStyle w:val="Heading2"/>
      </w:pPr>
      <w:r>
        <w:t>3) Actiepunten en informatieverzoeken (richting gemeente/raad)</w:t>
      </w:r>
    </w:p>
    <w:p>
      <w:r>
        <w:t>1. Participatie‑herstel: organiseer een herstelgesprek en publiceer een transparant overzicht van alle ontvangen reacties, de wijze van verwerking en de motivatie bij afwijzingen.</w:t>
      </w:r>
    </w:p>
    <w:p>
      <w:r>
        <w:t>2. Netcongestie: geef een planning/roadmap voor aansluiting + helder go/no‑go‑moment (circa 3 jaar vóór realistische aansluiting).</w:t>
      </w:r>
    </w:p>
    <w:p>
      <w:r>
        <w:t>3. Businesscase lokaal eigendom: presenteer een concrete financiële onderbouwing en een draagvlakonderzoek (bereidheid + inleg per huishouden/coöperatie).</w:t>
      </w:r>
    </w:p>
    <w:p>
      <w:r>
        <w:t>4. Financiële scenario’s: lever winst/break‑even/verlies‑scenario’s inclusief risicotoedeling; benoem maatregelen bij tegenvallers.</w:t>
      </w:r>
    </w:p>
    <w:p>
      <w:r>
        <w:t>5. Koppelkansen: toets juridische/financiële haalbaarheid van wandelroute/brug en rol van andere wegbeheerders (provincie/Rijkswaterstaat) vóórdat dit als koppelkans blijft staan.</w:t>
      </w:r>
    </w:p>
    <w:p>
      <w:r>
        <w:t>6. Kaartcorrectie: corrigeer de begrenzing van het brongebied (p.41) aan de hand van actuele gegevens.</w:t>
      </w:r>
    </w:p>
    <w:p>
      <w:r>
        <w:t>7. Kosten‑batenmodel gemeente‑breed: lever een multiscenario‑model (incl. governance en winstbestemming) om beleidskeuzes vooraf te kunnen beoordelen.</w:t>
      </w:r>
    </w:p>
    <w:p>
      <w:pPr>
        <w:pStyle w:val="Heading2"/>
      </w:pPr>
      <w:r>
        <w:t>4) Bijlagen/bronverwijzing (intern)</w:t>
      </w:r>
    </w:p>
    <w:p>
      <w:r>
        <w:t>• E‑mail d.d. 11‑09‑2025, 21:33 – “Bijeenkomst, Beleidskader voor zon op land projecten” (aan: H. van Os, G. Pieters, J. Smits, R. Aeilkema, A. Koffeman).</w:t>
      </w:r>
    </w:p>
    <w:p>
      <w:r>
        <w:t>• Notities documentanalyse met paginanummers (p.1, 6, 18, 31, 33, 40, 41, 47, 49).</w:t>
      </w:r>
    </w:p>
    <w:p>
      <w:r>
        <w:t>Opmerking: waar de datum nog ontbreekt (Inbrengavond 1) kan deze worden aangevuld zodra beschikbaar.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